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12FB5" w14:textId="77777777" w:rsidR="00217689" w:rsidRPr="00B57FBF" w:rsidRDefault="00217689" w:rsidP="00217689">
      <w:pPr>
        <w:spacing w:after="0" w:line="240" w:lineRule="auto"/>
        <w:rPr>
          <w:rFonts w:ascii="Arial" w:eastAsia="Times New Roman" w:hAnsi="Arial" w:cs="Times New Roman"/>
          <w:bCs/>
          <w:i/>
          <w:color w:val="000000"/>
          <w:sz w:val="24"/>
          <w:szCs w:val="26"/>
        </w:rPr>
      </w:pPr>
      <w:bookmarkStart w:id="0" w:name="_MacBuGuideStaticData_10780H"/>
      <w:bookmarkStart w:id="1" w:name="_MacBuGuideStaticData_5547H"/>
      <w:r w:rsidRPr="00B57FBF">
        <w:rPr>
          <w:rFonts w:ascii="Arial" w:eastAsia="Times New Roman" w:hAnsi="Arial" w:cs="Times New Roman"/>
          <w:bCs/>
          <w:noProof/>
          <w:sz w:val="24"/>
          <w:szCs w:val="26"/>
          <w:lang w:eastAsia="en-GB"/>
        </w:rPr>
        <w:drawing>
          <wp:anchor distT="0" distB="0" distL="114300" distR="114300" simplePos="0" relativeHeight="251702272" behindDoc="0" locked="0" layoutInCell="1" allowOverlap="1" wp14:anchorId="4590ABAC" wp14:editId="5A16BDC0">
            <wp:simplePos x="0" y="0"/>
            <wp:positionH relativeFrom="page">
              <wp:posOffset>-53340</wp:posOffset>
            </wp:positionH>
            <wp:positionV relativeFrom="page">
              <wp:posOffset>-22225</wp:posOffset>
            </wp:positionV>
            <wp:extent cx="7650480" cy="10701020"/>
            <wp:effectExtent l="0" t="0" r="7620" b="5080"/>
            <wp:wrapThrough wrapText="bothSides">
              <wp:wrapPolygon edited="0">
                <wp:start x="0" y="0"/>
                <wp:lineTo x="0" y="21572"/>
                <wp:lineTo x="21568" y="21572"/>
                <wp:lineTo x="2156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ulward:Documents:NHS England:0129_NHS England - Guide to our vision and purpose:Phase 3:Template updates:Orig:Amends:Images to use:-WORD full page:NHSEng_LGI_1Aug14_0114.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5048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7FBF">
        <w:rPr>
          <w:rFonts w:ascii="Arial" w:eastAsia="Times New Roman" w:hAnsi="Arial" w:cs="Times New Roman"/>
          <w:bCs/>
          <w:noProof/>
          <w:sz w:val="24"/>
          <w:szCs w:val="26"/>
          <w:lang w:eastAsia="en-GB"/>
        </w:rPr>
        <mc:AlternateContent>
          <mc:Choice Requires="wps">
            <w:drawing>
              <wp:anchor distT="0" distB="0" distL="114300" distR="114300" simplePos="0" relativeHeight="251703296" behindDoc="0" locked="0" layoutInCell="1" allowOverlap="1" wp14:anchorId="357A478A" wp14:editId="2F175C57">
                <wp:simplePos x="0" y="0"/>
                <wp:positionH relativeFrom="page">
                  <wp:posOffset>779145</wp:posOffset>
                </wp:positionH>
                <wp:positionV relativeFrom="page">
                  <wp:posOffset>2548255</wp:posOffset>
                </wp:positionV>
                <wp:extent cx="5608320" cy="1333500"/>
                <wp:effectExtent l="0" t="0" r="0" b="12700"/>
                <wp:wrapThrough wrapText="bothSides">
                  <wp:wrapPolygon edited="0">
                    <wp:start x="98" y="0"/>
                    <wp:lineTo x="98" y="21394"/>
                    <wp:lineTo x="21424" y="21394"/>
                    <wp:lineTo x="21424" y="0"/>
                    <wp:lineTo x="98" y="0"/>
                  </wp:wrapPolygon>
                </wp:wrapThrough>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832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5B597" w14:textId="0F0F4CD5" w:rsidR="002D7D65" w:rsidRPr="00B57FBF" w:rsidRDefault="002D7D65" w:rsidP="00217689">
                            <w:pPr>
                              <w:pStyle w:val="Title"/>
                              <w:pBdr>
                                <w:bottom w:val="none" w:sz="0" w:space="0" w:color="auto"/>
                              </w:pBdr>
                              <w:spacing w:after="0"/>
                              <w:contextualSpacing w:val="0"/>
                              <w:rPr>
                                <w:rFonts w:ascii="Arial" w:eastAsia="Times New Roman" w:hAnsi="Arial" w:cs="Times New Roman"/>
                                <w:b/>
                                <w:bCs/>
                                <w:color w:val="1F497D" w:themeColor="text2"/>
                                <w:spacing w:val="0"/>
                                <w:kern w:val="0"/>
                                <w:sz w:val="56"/>
                                <w:szCs w:val="80"/>
                              </w:rPr>
                            </w:pPr>
                            <w:r>
                              <w:rPr>
                                <w:rFonts w:ascii="Arial" w:eastAsia="Times New Roman" w:hAnsi="Arial" w:cs="Times New Roman"/>
                                <w:b/>
                                <w:bCs/>
                                <w:color w:val="1F497D" w:themeColor="text2"/>
                                <w:spacing w:val="0"/>
                                <w:kern w:val="0"/>
                                <w:sz w:val="56"/>
                                <w:szCs w:val="80"/>
                              </w:rPr>
                              <w:t>Health System Led Investment in Provider Digitisation</w:t>
                            </w:r>
                          </w:p>
                          <w:p w14:paraId="79C45A90" w14:textId="77777777" w:rsidR="002D7D65" w:rsidRPr="00C6751A" w:rsidRDefault="002D7D65" w:rsidP="00217689">
                            <w:pPr>
                              <w:pStyle w:val="BalloonText"/>
                              <w:rPr>
                                <w:color w:val="EEECE1" w:themeColor="background2"/>
                                <w:sz w:val="21"/>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61.35pt;margin-top:200.65pt;width:441.6pt;height:10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" filled="f" stroked="f">
                <v:path arrowok="t"/>
                <v:textbox>
                  <w:txbxContent>
                    <w:p w14:paraId="7775B597" w14:textId="0F0F4CD5" w:rsidR="002D7D65" w:rsidRPr="00B57FBF" w:rsidRDefault="002D7D65" w:rsidP="00217689">
                      <w:pPr>
                        <w:pStyle w:val="Title"/>
                        <w:pBdr>
                          <w:bottom w:val="none" w:sz="0" w:space="0" w:color="auto"/>
                        </w:pBdr>
                        <w:spacing w:after="0"/>
                        <w:contextualSpacing w:val="0"/>
                        <w:rPr>
                          <w:rFonts w:ascii="Arial" w:eastAsia="Times New Roman" w:hAnsi="Arial" w:cs="Times New Roman"/>
                          <w:b/>
                          <w:bCs/>
                          <w:color w:val="1F497D" w:themeColor="text2"/>
                          <w:spacing w:val="0"/>
                          <w:kern w:val="0"/>
                          <w:sz w:val="56"/>
                          <w:szCs w:val="80"/>
                        </w:rPr>
                      </w:pPr>
                      <w:r>
                        <w:rPr>
                          <w:rFonts w:ascii="Arial" w:eastAsia="Times New Roman" w:hAnsi="Arial" w:cs="Times New Roman"/>
                          <w:b/>
                          <w:bCs/>
                          <w:color w:val="1F497D" w:themeColor="text2"/>
                          <w:spacing w:val="0"/>
                          <w:kern w:val="0"/>
                          <w:sz w:val="56"/>
                          <w:szCs w:val="80"/>
                        </w:rPr>
                        <w:t>Health System Led Investment in Provider Digitisation</w:t>
                      </w:r>
                    </w:p>
                    <w:p w14:paraId="79C45A90" w14:textId="77777777" w:rsidR="002D7D65" w:rsidRPr="00C6751A" w:rsidRDefault="002D7D65" w:rsidP="00217689">
                      <w:pPr>
                        <w:pStyle w:val="BalloonText"/>
                        <w:rPr>
                          <w:color w:val="EEECE1" w:themeColor="background2"/>
                          <w:sz w:val="21"/>
                        </w:rPr>
                      </w:pPr>
                    </w:p>
                  </w:txbxContent>
                </v:textbox>
                <w10:wrap type="through" anchorx="page" anchory="page"/>
              </v:shape>
            </w:pict>
          </mc:Fallback>
        </mc:AlternateContent>
      </w:r>
      <w:r w:rsidRPr="00B57FBF">
        <w:rPr>
          <w:rFonts w:ascii="Arial" w:eastAsia="Times New Roman" w:hAnsi="Arial" w:cs="Times New Roman"/>
          <w:bCs/>
          <w:noProof/>
          <w:sz w:val="24"/>
          <w:szCs w:val="26"/>
          <w:lang w:eastAsia="en-GB"/>
        </w:rPr>
        <mc:AlternateContent>
          <mc:Choice Requires="wps">
            <w:drawing>
              <wp:anchor distT="0" distB="0" distL="114300" distR="114300" simplePos="0" relativeHeight="251704320" behindDoc="0" locked="0" layoutInCell="1" allowOverlap="1" wp14:anchorId="2E3E3BF7" wp14:editId="248F3BB6">
                <wp:simplePos x="0" y="0"/>
                <wp:positionH relativeFrom="page">
                  <wp:posOffset>780415</wp:posOffset>
                </wp:positionH>
                <wp:positionV relativeFrom="page">
                  <wp:posOffset>3899535</wp:posOffset>
                </wp:positionV>
                <wp:extent cx="5608320" cy="1333500"/>
                <wp:effectExtent l="2540" t="0" r="0" b="3175"/>
                <wp:wrapThrough wrapText="bothSides">
                  <wp:wrapPolygon edited="0">
                    <wp:start x="0" y="0"/>
                    <wp:lineTo x="21600" y="0"/>
                    <wp:lineTo x="21600" y="21600"/>
                    <wp:lineTo x="0" y="21600"/>
                    <wp:lineTo x="0" y="0"/>
                  </wp:wrapPolygon>
                </wp:wrapThrough>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832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33820" w14:textId="77777777" w:rsidR="002D7D65" w:rsidRDefault="002D7D65" w:rsidP="00217689">
                            <w:pPr>
                              <w:spacing w:after="0" w:line="240" w:lineRule="auto"/>
                              <w:rPr>
                                <w:rFonts w:ascii="Arial" w:eastAsia="Times New Roman" w:hAnsi="Arial" w:cs="Times New Roman"/>
                                <w:b/>
                                <w:bCs/>
                                <w:sz w:val="28"/>
                                <w:szCs w:val="28"/>
                              </w:rPr>
                            </w:pPr>
                            <w:r>
                              <w:rPr>
                                <w:rFonts w:ascii="Arial" w:eastAsia="Times New Roman" w:hAnsi="Arial" w:cs="Times New Roman"/>
                                <w:b/>
                                <w:bCs/>
                                <w:sz w:val="28"/>
                                <w:szCs w:val="28"/>
                              </w:rPr>
                              <w:t>Prospectus</w:t>
                            </w:r>
                          </w:p>
                          <w:p w14:paraId="4E1D2088" w14:textId="77777777" w:rsidR="002D7D65" w:rsidRDefault="002D7D65" w:rsidP="00217689">
                            <w:pPr>
                              <w:spacing w:after="0" w:line="240" w:lineRule="auto"/>
                              <w:rPr>
                                <w:rFonts w:ascii="Arial" w:eastAsia="Times New Roman" w:hAnsi="Arial" w:cs="Times New Roman"/>
                                <w:b/>
                                <w:bCs/>
                                <w:sz w:val="28"/>
                                <w:szCs w:val="28"/>
                              </w:rPr>
                            </w:pPr>
                          </w:p>
                          <w:p w14:paraId="4E75D374" w14:textId="07D37A82" w:rsidR="002D7D65" w:rsidRPr="00B57FBF" w:rsidRDefault="002D7D65" w:rsidP="00217689">
                            <w:pPr>
                              <w:spacing w:after="0" w:line="240" w:lineRule="auto"/>
                              <w:rPr>
                                <w:rFonts w:ascii="Arial" w:eastAsia="Times New Roman" w:hAnsi="Arial" w:cs="Times New Roman"/>
                                <w:b/>
                                <w:bCs/>
                                <w:sz w:val="28"/>
                                <w:szCs w:val="28"/>
                              </w:rPr>
                            </w:pPr>
                            <w:r>
                              <w:rPr>
                                <w:rFonts w:ascii="Arial" w:eastAsia="Times New Roman" w:hAnsi="Arial" w:cs="Times New Roman"/>
                                <w:b/>
                                <w:bCs/>
                                <w:sz w:val="28"/>
                                <w:szCs w:val="28"/>
                              </w:rPr>
                              <w:t>August 2018</w:t>
                            </w:r>
                          </w:p>
                          <w:p w14:paraId="193DDF03" w14:textId="77777777" w:rsidR="002D7D65" w:rsidRPr="00C6751A" w:rsidRDefault="002D7D65" w:rsidP="00217689">
                            <w:pPr>
                              <w:rPr>
                                <w:color w:val="EEECE1" w:themeColor="background2"/>
                                <w:sz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1.45pt;margin-top:307.05pt;width:441.6pt;height:10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" filled="f" stroked="f">
                <v:path arrowok="t"/>
                <v:textbox>
                  <w:txbxContent>
                    <w:p w14:paraId="7CD33820" w14:textId="77777777" w:rsidR="002D7D65" w:rsidRDefault="002D7D65" w:rsidP="00217689">
                      <w:pPr>
                        <w:spacing w:after="0" w:line="240" w:lineRule="auto"/>
                        <w:rPr>
                          <w:rFonts w:ascii="Arial" w:eastAsia="Times New Roman" w:hAnsi="Arial" w:cs="Times New Roman"/>
                          <w:b/>
                          <w:bCs/>
                          <w:sz w:val="28"/>
                          <w:szCs w:val="28"/>
                        </w:rPr>
                      </w:pPr>
                      <w:r>
                        <w:rPr>
                          <w:rFonts w:ascii="Arial" w:eastAsia="Times New Roman" w:hAnsi="Arial" w:cs="Times New Roman"/>
                          <w:b/>
                          <w:bCs/>
                          <w:sz w:val="28"/>
                          <w:szCs w:val="28"/>
                        </w:rPr>
                        <w:t>Prospectus</w:t>
                      </w:r>
                    </w:p>
                    <w:p w14:paraId="4E1D2088" w14:textId="77777777" w:rsidR="002D7D65" w:rsidRDefault="002D7D65" w:rsidP="00217689">
                      <w:pPr>
                        <w:spacing w:after="0" w:line="240" w:lineRule="auto"/>
                        <w:rPr>
                          <w:rFonts w:ascii="Arial" w:eastAsia="Times New Roman" w:hAnsi="Arial" w:cs="Times New Roman"/>
                          <w:b/>
                          <w:bCs/>
                          <w:sz w:val="28"/>
                          <w:szCs w:val="28"/>
                        </w:rPr>
                      </w:pPr>
                    </w:p>
                    <w:p w14:paraId="4E75D374" w14:textId="07D37A82" w:rsidR="002D7D65" w:rsidRPr="00B57FBF" w:rsidRDefault="002D7D65" w:rsidP="00217689">
                      <w:pPr>
                        <w:spacing w:after="0" w:line="240" w:lineRule="auto"/>
                        <w:rPr>
                          <w:rFonts w:ascii="Arial" w:eastAsia="Times New Roman" w:hAnsi="Arial" w:cs="Times New Roman"/>
                          <w:b/>
                          <w:bCs/>
                          <w:sz w:val="28"/>
                          <w:szCs w:val="28"/>
                        </w:rPr>
                      </w:pPr>
                      <w:r>
                        <w:rPr>
                          <w:rFonts w:ascii="Arial" w:eastAsia="Times New Roman" w:hAnsi="Arial" w:cs="Times New Roman"/>
                          <w:b/>
                          <w:bCs/>
                          <w:sz w:val="28"/>
                          <w:szCs w:val="28"/>
                        </w:rPr>
                        <w:t xml:space="preserve">August </w:t>
                      </w:r>
                      <w:r>
                        <w:rPr>
                          <w:rFonts w:ascii="Arial" w:eastAsia="Times New Roman" w:hAnsi="Arial" w:cs="Times New Roman"/>
                          <w:b/>
                          <w:bCs/>
                          <w:sz w:val="28"/>
                          <w:szCs w:val="28"/>
                        </w:rPr>
                        <w:t>2018</w:t>
                      </w:r>
                    </w:p>
                    <w:p w14:paraId="193DDF03" w14:textId="77777777" w:rsidR="002D7D65" w:rsidRPr="00C6751A" w:rsidRDefault="002D7D65" w:rsidP="00217689">
                      <w:pPr>
                        <w:rPr>
                          <w:color w:val="EEECE1" w:themeColor="background2"/>
                          <w:sz w:val="21"/>
                        </w:rPr>
                      </w:pPr>
                    </w:p>
                  </w:txbxContent>
                </v:textbox>
                <w10:wrap type="through" anchorx="page" anchory="page"/>
              </v:shape>
            </w:pict>
          </mc:Fallback>
        </mc:AlternateContent>
      </w:r>
      <w:r w:rsidRPr="00B57FBF">
        <w:rPr>
          <w:rFonts w:ascii="Arial" w:eastAsia="Times New Roman" w:hAnsi="Arial" w:cs="Times New Roman"/>
          <w:bCs/>
          <w:sz w:val="24"/>
          <w:szCs w:val="26"/>
        </w:rPr>
        <w:br w:type="page"/>
      </w:r>
      <w:bookmarkStart w:id="2" w:name="_MacBuGuideStaticData_3861H"/>
      <w:bookmarkEnd w:id="0"/>
      <w:bookmarkEnd w:id="1"/>
    </w:p>
    <w:p w14:paraId="43B026BE" w14:textId="77777777" w:rsidR="00217689" w:rsidRPr="00B57FBF" w:rsidRDefault="00217689" w:rsidP="00217689">
      <w:pPr>
        <w:spacing w:after="0" w:line="240" w:lineRule="auto"/>
        <w:rPr>
          <w:rFonts w:ascii="Arial" w:eastAsia="Times New Roman" w:hAnsi="Arial" w:cs="Times New Roman"/>
          <w:bCs/>
          <w:i/>
          <w:color w:val="000000"/>
          <w:sz w:val="24"/>
          <w:szCs w:val="26"/>
        </w:rPr>
      </w:pPr>
    </w:p>
    <w:bookmarkEnd w:id="2"/>
    <w:p w14:paraId="57CB27C1" w14:textId="570F842F" w:rsidR="00217689" w:rsidRPr="00B57FBF" w:rsidRDefault="00217689" w:rsidP="00217689">
      <w:pPr>
        <w:spacing w:after="0" w:line="240" w:lineRule="auto"/>
        <w:rPr>
          <w:rFonts w:ascii="Arial" w:eastAsia="Times New Roman" w:hAnsi="Arial" w:cs="Times New Roman"/>
          <w:b/>
          <w:bCs/>
          <w:sz w:val="32"/>
          <w:szCs w:val="32"/>
        </w:rPr>
      </w:pPr>
      <w:r>
        <w:rPr>
          <w:rFonts w:ascii="Arial" w:eastAsia="Times New Roman" w:hAnsi="Arial" w:cs="Times New Roman"/>
          <w:b/>
          <w:bCs/>
          <w:sz w:val="32"/>
          <w:szCs w:val="32"/>
        </w:rPr>
        <w:t>Health System</w:t>
      </w:r>
      <w:r w:rsidR="00CD7656">
        <w:rPr>
          <w:rFonts w:ascii="Arial" w:eastAsia="Times New Roman" w:hAnsi="Arial" w:cs="Times New Roman"/>
          <w:b/>
          <w:bCs/>
          <w:sz w:val="32"/>
          <w:szCs w:val="32"/>
        </w:rPr>
        <w:t xml:space="preserve"> </w:t>
      </w:r>
      <w:r>
        <w:rPr>
          <w:rFonts w:ascii="Arial" w:eastAsia="Times New Roman" w:hAnsi="Arial" w:cs="Times New Roman"/>
          <w:b/>
          <w:bCs/>
          <w:sz w:val="32"/>
          <w:szCs w:val="32"/>
        </w:rPr>
        <w:t>Led Investment in Provider Digitisation</w:t>
      </w:r>
    </w:p>
    <w:p w14:paraId="27C10410" w14:textId="77777777" w:rsidR="00217689" w:rsidRPr="00B57FBF" w:rsidRDefault="00217689" w:rsidP="00217689">
      <w:pPr>
        <w:spacing w:after="0" w:line="240" w:lineRule="auto"/>
        <w:rPr>
          <w:rFonts w:ascii="Arial" w:eastAsia="Times New Roman" w:hAnsi="Arial" w:cs="Times New Roman"/>
          <w:bCs/>
          <w:sz w:val="24"/>
          <w:szCs w:val="26"/>
        </w:rPr>
      </w:pPr>
    </w:p>
    <w:p w14:paraId="32C59156" w14:textId="77777777" w:rsidR="00217689" w:rsidRPr="00B57FBF" w:rsidRDefault="00217689" w:rsidP="00217689">
      <w:pPr>
        <w:spacing w:after="0" w:line="240" w:lineRule="auto"/>
        <w:rPr>
          <w:rFonts w:ascii="Arial" w:eastAsia="Times New Roman" w:hAnsi="Arial" w:cs="Times New Roman"/>
          <w:b/>
          <w:bCs/>
          <w:color w:val="41B6E6"/>
          <w:sz w:val="28"/>
          <w:szCs w:val="28"/>
        </w:rPr>
      </w:pPr>
      <w:r>
        <w:rPr>
          <w:rFonts w:ascii="Arial" w:eastAsia="Times New Roman" w:hAnsi="Arial" w:cs="Times New Roman"/>
          <w:b/>
          <w:bCs/>
          <w:sz w:val="28"/>
          <w:szCs w:val="28"/>
        </w:rPr>
        <w:t>Prospectus</w:t>
      </w:r>
    </w:p>
    <w:p w14:paraId="60655A92" w14:textId="77777777" w:rsidR="00217689" w:rsidRPr="00B57FBF" w:rsidRDefault="00217689" w:rsidP="00217689">
      <w:pPr>
        <w:spacing w:after="0" w:line="240" w:lineRule="auto"/>
        <w:rPr>
          <w:rFonts w:ascii="Arial" w:eastAsia="Times New Roman" w:hAnsi="Arial" w:cs="Times New Roman"/>
          <w:bCs/>
          <w:sz w:val="24"/>
          <w:szCs w:val="26"/>
        </w:rPr>
      </w:pPr>
    </w:p>
    <w:p w14:paraId="2B507413" w14:textId="74F37FFD" w:rsidR="00217689" w:rsidRPr="00B57FBF" w:rsidRDefault="00217689" w:rsidP="00217689">
      <w:pPr>
        <w:spacing w:after="0" w:line="240" w:lineRule="auto"/>
        <w:rPr>
          <w:rFonts w:ascii="Arial" w:eastAsia="Times New Roman" w:hAnsi="Arial" w:cs="Times New Roman"/>
          <w:bCs/>
          <w:sz w:val="24"/>
          <w:szCs w:val="26"/>
        </w:rPr>
      </w:pPr>
      <w:r w:rsidRPr="00B57FBF">
        <w:rPr>
          <w:rFonts w:ascii="Arial" w:eastAsia="Times New Roman" w:hAnsi="Arial" w:cs="Times New Roman"/>
          <w:bCs/>
          <w:sz w:val="24"/>
          <w:szCs w:val="26"/>
        </w:rPr>
        <w:t>Version number:</w:t>
      </w:r>
      <w:r w:rsidR="00137853">
        <w:rPr>
          <w:rFonts w:ascii="Arial" w:eastAsia="Times New Roman" w:hAnsi="Arial" w:cs="Times New Roman"/>
          <w:bCs/>
          <w:sz w:val="24"/>
          <w:szCs w:val="26"/>
        </w:rPr>
        <w:t xml:space="preserve"> v1.0</w:t>
      </w:r>
    </w:p>
    <w:p w14:paraId="4881B8FF" w14:textId="77777777" w:rsidR="00217689" w:rsidRPr="00B57FBF" w:rsidRDefault="00217689" w:rsidP="00217689">
      <w:pPr>
        <w:spacing w:after="0" w:line="240" w:lineRule="auto"/>
        <w:rPr>
          <w:rFonts w:ascii="Arial" w:eastAsia="Times New Roman" w:hAnsi="Arial" w:cs="Times New Roman"/>
          <w:bCs/>
          <w:sz w:val="24"/>
          <w:szCs w:val="26"/>
        </w:rPr>
      </w:pPr>
    </w:p>
    <w:p w14:paraId="33A2DC0A" w14:textId="3C821535" w:rsidR="00217689" w:rsidRPr="00B57FBF" w:rsidRDefault="00217689" w:rsidP="00217689">
      <w:pPr>
        <w:spacing w:after="0" w:line="240" w:lineRule="auto"/>
        <w:rPr>
          <w:rFonts w:ascii="Arial" w:eastAsia="Times New Roman" w:hAnsi="Arial" w:cs="Times New Roman"/>
          <w:bCs/>
          <w:sz w:val="24"/>
          <w:szCs w:val="26"/>
        </w:rPr>
      </w:pPr>
      <w:r w:rsidRPr="00B57FBF">
        <w:rPr>
          <w:rFonts w:ascii="Arial" w:eastAsia="Times New Roman" w:hAnsi="Arial" w:cs="Times New Roman"/>
          <w:bCs/>
          <w:sz w:val="24"/>
          <w:szCs w:val="26"/>
        </w:rPr>
        <w:t>First published:</w:t>
      </w:r>
      <w:r w:rsidR="00137853">
        <w:rPr>
          <w:rFonts w:ascii="Arial" w:eastAsia="Times New Roman" w:hAnsi="Arial" w:cs="Times New Roman"/>
          <w:bCs/>
          <w:sz w:val="24"/>
          <w:szCs w:val="26"/>
        </w:rPr>
        <w:t xml:space="preserve"> 10 August 2018</w:t>
      </w:r>
    </w:p>
    <w:p w14:paraId="09E03777" w14:textId="77777777" w:rsidR="00217689" w:rsidRPr="00B57FBF" w:rsidRDefault="00217689" w:rsidP="00217689">
      <w:pPr>
        <w:spacing w:after="0" w:line="240" w:lineRule="auto"/>
        <w:rPr>
          <w:rFonts w:ascii="Arial" w:eastAsia="Times New Roman" w:hAnsi="Arial" w:cs="Times New Roman"/>
          <w:bCs/>
          <w:sz w:val="24"/>
          <w:szCs w:val="26"/>
        </w:rPr>
      </w:pPr>
    </w:p>
    <w:p w14:paraId="79BC7CCF" w14:textId="77777777" w:rsidR="00217689" w:rsidRPr="00B57FBF" w:rsidRDefault="00217689" w:rsidP="00217689">
      <w:pPr>
        <w:spacing w:after="0" w:line="240" w:lineRule="auto"/>
        <w:rPr>
          <w:rFonts w:ascii="Arial" w:eastAsia="Times New Roman" w:hAnsi="Arial" w:cs="Times New Roman"/>
          <w:bCs/>
          <w:sz w:val="24"/>
          <w:szCs w:val="26"/>
        </w:rPr>
      </w:pPr>
      <w:r w:rsidRPr="00B57FBF">
        <w:rPr>
          <w:rFonts w:ascii="Arial" w:eastAsia="Times New Roman" w:hAnsi="Arial" w:cs="Times New Roman"/>
          <w:bCs/>
          <w:sz w:val="24"/>
          <w:szCs w:val="26"/>
        </w:rPr>
        <w:t>Updat</w:t>
      </w:r>
      <w:r>
        <w:rPr>
          <w:rFonts w:ascii="Arial" w:eastAsia="Times New Roman" w:hAnsi="Arial" w:cs="Times New Roman"/>
          <w:bCs/>
          <w:sz w:val="24"/>
          <w:szCs w:val="26"/>
        </w:rPr>
        <w:t>ed: N/a</w:t>
      </w:r>
    </w:p>
    <w:p w14:paraId="4F0D1453" w14:textId="77777777" w:rsidR="00217689" w:rsidRPr="00B57FBF" w:rsidRDefault="00217689" w:rsidP="00217689">
      <w:pPr>
        <w:spacing w:after="0" w:line="240" w:lineRule="auto"/>
        <w:rPr>
          <w:rFonts w:ascii="Arial" w:eastAsia="Times New Roman" w:hAnsi="Arial" w:cs="Times New Roman"/>
          <w:bCs/>
          <w:sz w:val="24"/>
          <w:szCs w:val="26"/>
        </w:rPr>
      </w:pPr>
    </w:p>
    <w:p w14:paraId="43D1890C" w14:textId="77777777" w:rsidR="00217689" w:rsidRPr="00B57FBF" w:rsidRDefault="00217689" w:rsidP="00217689">
      <w:pPr>
        <w:spacing w:after="0" w:line="240" w:lineRule="auto"/>
        <w:rPr>
          <w:rFonts w:ascii="Arial" w:eastAsia="Times New Roman" w:hAnsi="Arial" w:cs="Times New Roman"/>
          <w:bCs/>
          <w:sz w:val="24"/>
          <w:szCs w:val="26"/>
        </w:rPr>
      </w:pPr>
      <w:r w:rsidRPr="00B57FBF">
        <w:rPr>
          <w:rFonts w:ascii="Arial" w:eastAsia="Times New Roman" w:hAnsi="Arial" w:cs="Times New Roman"/>
          <w:bCs/>
          <w:sz w:val="24"/>
          <w:szCs w:val="26"/>
        </w:rPr>
        <w:t>Prepared by:</w:t>
      </w:r>
      <w:r>
        <w:rPr>
          <w:rFonts w:ascii="Arial" w:eastAsia="Times New Roman" w:hAnsi="Arial" w:cs="Times New Roman"/>
          <w:bCs/>
          <w:sz w:val="24"/>
          <w:szCs w:val="26"/>
        </w:rPr>
        <w:t xml:space="preserve"> Neil Calland (NHS England)</w:t>
      </w:r>
    </w:p>
    <w:p w14:paraId="5883637B" w14:textId="77777777" w:rsidR="00217689" w:rsidRPr="00B57FBF" w:rsidRDefault="00217689" w:rsidP="00217689">
      <w:pPr>
        <w:spacing w:after="0" w:line="240" w:lineRule="auto"/>
        <w:rPr>
          <w:rFonts w:ascii="Arial" w:eastAsia="Times New Roman" w:hAnsi="Arial" w:cs="Times New Roman"/>
          <w:bCs/>
          <w:sz w:val="24"/>
          <w:szCs w:val="26"/>
        </w:rPr>
      </w:pPr>
    </w:p>
    <w:p w14:paraId="438C4285" w14:textId="77777777" w:rsidR="00217689" w:rsidRDefault="00217689" w:rsidP="00217689">
      <w:pPr>
        <w:spacing w:after="0" w:line="240" w:lineRule="auto"/>
        <w:rPr>
          <w:rFonts w:ascii="Arial" w:eastAsia="Times New Roman" w:hAnsi="Arial" w:cs="Times New Roman"/>
          <w:bCs/>
          <w:sz w:val="24"/>
          <w:szCs w:val="26"/>
        </w:rPr>
      </w:pPr>
      <w:r w:rsidRPr="00B57FBF">
        <w:rPr>
          <w:rFonts w:ascii="Arial" w:eastAsia="Times New Roman" w:hAnsi="Arial" w:cs="Times New Roman"/>
          <w:bCs/>
          <w:sz w:val="24"/>
          <w:szCs w:val="26"/>
        </w:rPr>
        <w:t>Classification: OFFICIAL</w:t>
      </w:r>
    </w:p>
    <w:p w14:paraId="325374F5" w14:textId="77777777" w:rsidR="00CD7656" w:rsidRDefault="00CD7656" w:rsidP="00217689">
      <w:pPr>
        <w:spacing w:after="0" w:line="240" w:lineRule="auto"/>
        <w:rPr>
          <w:rFonts w:ascii="Arial" w:eastAsia="Times New Roman" w:hAnsi="Arial" w:cs="Times New Roman"/>
          <w:bCs/>
          <w:sz w:val="24"/>
          <w:szCs w:val="26"/>
        </w:rPr>
      </w:pPr>
    </w:p>
    <w:p w14:paraId="46BAB55E" w14:textId="073123F7" w:rsidR="00CD7656" w:rsidRPr="00B57FBF" w:rsidRDefault="00CD7656" w:rsidP="00CD7656">
      <w:pPr>
        <w:spacing w:after="0" w:line="240" w:lineRule="auto"/>
        <w:rPr>
          <w:rFonts w:ascii="Arial" w:eastAsia="Times New Roman" w:hAnsi="Arial" w:cs="Times New Roman"/>
          <w:bCs/>
          <w:sz w:val="24"/>
          <w:szCs w:val="26"/>
        </w:rPr>
      </w:pPr>
      <w:r>
        <w:rPr>
          <w:rFonts w:ascii="Arial" w:eastAsia="Times New Roman" w:hAnsi="Arial" w:cs="Times New Roman"/>
          <w:bCs/>
          <w:sz w:val="24"/>
          <w:szCs w:val="26"/>
        </w:rPr>
        <w:t>NHS England Publications Gateway Reference 08246</w:t>
      </w:r>
    </w:p>
    <w:p w14:paraId="76E0C42D" w14:textId="77777777" w:rsidR="00217689" w:rsidRDefault="00217689" w:rsidP="00CD7656">
      <w:pPr>
        <w:spacing w:after="0"/>
        <w:rPr>
          <w:rFonts w:ascii="Arial" w:eastAsia="Calibri" w:hAnsi="Arial" w:cs="Arial"/>
        </w:rPr>
      </w:pPr>
    </w:p>
    <w:p w14:paraId="27D2E6B7" w14:textId="77777777" w:rsidR="00217689" w:rsidRPr="00B57FBF" w:rsidRDefault="00217689" w:rsidP="00217689">
      <w:pPr>
        <w:rPr>
          <w:rFonts w:ascii="Arial" w:eastAsia="Calibri" w:hAnsi="Arial" w:cs="Arial"/>
          <w:i/>
          <w:iCs/>
        </w:rPr>
      </w:pPr>
      <w:r w:rsidRPr="00B57FBF">
        <w:rPr>
          <w:rFonts w:ascii="Arial" w:eastAsia="Calibri" w:hAnsi="Arial" w:cs="Arial"/>
        </w:rPr>
        <w:t xml:space="preserve">The National Health Service Commissioning Board was established on </w:t>
      </w:r>
      <w:r w:rsidRPr="00B57FBF">
        <w:rPr>
          <w:rFonts w:ascii="Arial" w:eastAsia="Calibri" w:hAnsi="Arial" w:cs="Arial"/>
          <w:iCs/>
        </w:rPr>
        <w:t>1 October 2012 as an executive non-departmental public body. Since 1 April 2013, the National Health Service Commissioning Board has used the name NHS England for operational purposes</w:t>
      </w:r>
      <w:r w:rsidRPr="00B57FBF">
        <w:rPr>
          <w:rFonts w:ascii="Arial" w:eastAsia="Calibri" w:hAnsi="Arial" w:cs="Arial"/>
          <w:i/>
          <w:iCs/>
        </w:rPr>
        <w:t xml:space="preserve">. </w:t>
      </w:r>
    </w:p>
    <w:p w14:paraId="60E9B167" w14:textId="77777777" w:rsidR="00217689" w:rsidRDefault="00217689" w:rsidP="00217689">
      <w:pPr>
        <w:rPr>
          <w:rFonts w:ascii="Arial" w:eastAsia="Times New Roman" w:hAnsi="Arial" w:cs="Times New Roman"/>
          <w:bCs/>
          <w:sz w:val="24"/>
          <w:szCs w:val="26"/>
        </w:rPr>
      </w:pPr>
    </w:p>
    <w:p w14:paraId="00479BBB" w14:textId="77777777" w:rsidR="00217689" w:rsidRDefault="00217689" w:rsidP="00217689">
      <w:pPr>
        <w:rPr>
          <w:rFonts w:ascii="Arial" w:eastAsia="Times New Roman" w:hAnsi="Arial" w:cs="Times New Roman"/>
          <w:bCs/>
          <w:sz w:val="24"/>
          <w:szCs w:val="26"/>
        </w:rPr>
      </w:pPr>
    </w:p>
    <w:p w14:paraId="562E0A35" w14:textId="77777777" w:rsidR="00217689" w:rsidRDefault="00217689" w:rsidP="00217689">
      <w:pPr>
        <w:rPr>
          <w:rFonts w:ascii="Arial" w:eastAsia="Times New Roman" w:hAnsi="Arial" w:cs="Times New Roman"/>
          <w:bCs/>
          <w:sz w:val="24"/>
          <w:szCs w:val="26"/>
        </w:rPr>
      </w:pPr>
    </w:p>
    <w:p w14:paraId="3F4A72B7" w14:textId="77777777" w:rsidR="00217689" w:rsidRDefault="00217689" w:rsidP="00217689">
      <w:pPr>
        <w:rPr>
          <w:rFonts w:ascii="Arial" w:eastAsia="Times New Roman" w:hAnsi="Arial" w:cs="Times New Roman"/>
          <w:bCs/>
          <w:sz w:val="24"/>
          <w:szCs w:val="26"/>
        </w:rPr>
      </w:pPr>
    </w:p>
    <w:p w14:paraId="261FA814" w14:textId="77777777" w:rsidR="00217689" w:rsidRDefault="00217689" w:rsidP="00217689">
      <w:pPr>
        <w:rPr>
          <w:rFonts w:ascii="Arial" w:eastAsia="Times New Roman" w:hAnsi="Arial" w:cs="Times New Roman"/>
          <w:bCs/>
          <w:sz w:val="24"/>
          <w:szCs w:val="26"/>
        </w:rPr>
      </w:pPr>
    </w:p>
    <w:p w14:paraId="277FD9B0" w14:textId="77777777" w:rsidR="00217689" w:rsidRDefault="00217689" w:rsidP="00217689">
      <w:pPr>
        <w:rPr>
          <w:rFonts w:ascii="Arial" w:eastAsia="Times New Roman" w:hAnsi="Arial" w:cs="Times New Roman"/>
          <w:bCs/>
          <w:sz w:val="24"/>
          <w:szCs w:val="26"/>
        </w:rPr>
      </w:pPr>
    </w:p>
    <w:p w14:paraId="6ECF0748" w14:textId="77777777" w:rsidR="00217689" w:rsidRDefault="00217689" w:rsidP="00217689">
      <w:pPr>
        <w:rPr>
          <w:rFonts w:ascii="Arial" w:eastAsia="Times New Roman" w:hAnsi="Arial" w:cs="Times New Roman"/>
          <w:bCs/>
          <w:sz w:val="24"/>
          <w:szCs w:val="26"/>
        </w:rPr>
      </w:pPr>
    </w:p>
    <w:p w14:paraId="175746E6" w14:textId="77777777" w:rsidR="00217689" w:rsidRDefault="00217689" w:rsidP="00217689">
      <w:pPr>
        <w:rPr>
          <w:rFonts w:ascii="Arial" w:eastAsia="Times New Roman" w:hAnsi="Arial" w:cs="Times New Roman"/>
          <w:bCs/>
          <w:sz w:val="24"/>
          <w:szCs w:val="26"/>
        </w:rPr>
      </w:pPr>
    </w:p>
    <w:p w14:paraId="0A47B50F" w14:textId="77777777" w:rsidR="00217689" w:rsidRDefault="00217689" w:rsidP="00217689">
      <w:pPr>
        <w:rPr>
          <w:rFonts w:ascii="Arial" w:eastAsia="Times New Roman" w:hAnsi="Arial" w:cs="Times New Roman"/>
          <w:bCs/>
          <w:sz w:val="24"/>
          <w:szCs w:val="26"/>
        </w:rPr>
      </w:pPr>
    </w:p>
    <w:p w14:paraId="7BF9A935" w14:textId="77777777" w:rsidR="00217689" w:rsidRDefault="00217689" w:rsidP="00217689">
      <w:pPr>
        <w:rPr>
          <w:rFonts w:ascii="Arial" w:eastAsia="Times New Roman" w:hAnsi="Arial" w:cs="Times New Roman"/>
          <w:bCs/>
          <w:sz w:val="24"/>
          <w:szCs w:val="26"/>
        </w:rPr>
      </w:pPr>
    </w:p>
    <w:p w14:paraId="33DD4F44" w14:textId="77777777" w:rsidR="00217689" w:rsidRDefault="00217689" w:rsidP="00217689">
      <w:pPr>
        <w:rPr>
          <w:rFonts w:ascii="Arial" w:eastAsia="Times New Roman" w:hAnsi="Arial" w:cs="Times New Roman"/>
          <w:bCs/>
          <w:sz w:val="24"/>
          <w:szCs w:val="26"/>
        </w:rPr>
      </w:pPr>
    </w:p>
    <w:p w14:paraId="4C36A4AA" w14:textId="77777777" w:rsidR="00217689" w:rsidRDefault="00217689" w:rsidP="00217689">
      <w:pPr>
        <w:rPr>
          <w:rFonts w:ascii="Arial" w:eastAsia="Times New Roman" w:hAnsi="Arial" w:cs="Times New Roman"/>
          <w:bCs/>
          <w:sz w:val="24"/>
          <w:szCs w:val="26"/>
        </w:rPr>
      </w:pPr>
    </w:p>
    <w:p w14:paraId="6757FA1A" w14:textId="77777777" w:rsidR="00217689" w:rsidRDefault="00217689" w:rsidP="00217689">
      <w:pPr>
        <w:rPr>
          <w:rFonts w:ascii="Arial" w:eastAsia="Times New Roman" w:hAnsi="Arial" w:cs="Times New Roman"/>
          <w:bCs/>
          <w:sz w:val="24"/>
          <w:szCs w:val="26"/>
        </w:rPr>
      </w:pPr>
    </w:p>
    <w:p w14:paraId="3522AA50" w14:textId="77777777" w:rsidR="00217689" w:rsidRDefault="00217689" w:rsidP="00217689">
      <w:pPr>
        <w:rPr>
          <w:rFonts w:ascii="Arial" w:eastAsia="Times New Roman" w:hAnsi="Arial" w:cs="Times New Roman"/>
          <w:bCs/>
          <w:sz w:val="24"/>
          <w:szCs w:val="26"/>
        </w:rPr>
      </w:pPr>
    </w:p>
    <w:p w14:paraId="0DEC8400" w14:textId="77777777" w:rsidR="00217689" w:rsidRDefault="00217689" w:rsidP="00217689">
      <w:pPr>
        <w:jc w:val="center"/>
        <w:rPr>
          <w:rFonts w:ascii="Arial" w:eastAsia="Times New Roman" w:hAnsi="Arial" w:cs="Times New Roman"/>
          <w:bCs/>
          <w:sz w:val="24"/>
          <w:szCs w:val="26"/>
        </w:rPr>
      </w:pPr>
      <w:r w:rsidRPr="00A95B27">
        <w:rPr>
          <w:rFonts w:ascii="Arial" w:eastAsia="Times New Roman" w:hAnsi="Arial" w:cs="Times New Roman"/>
          <w:b/>
          <w:bCs/>
          <w:szCs w:val="26"/>
        </w:rPr>
        <w:t>Other formats of this doc</w:t>
      </w:r>
      <w:r>
        <w:rPr>
          <w:rFonts w:ascii="Arial" w:eastAsia="Times New Roman" w:hAnsi="Arial" w:cs="Times New Roman"/>
          <w:b/>
          <w:bCs/>
          <w:szCs w:val="26"/>
        </w:rPr>
        <w:t xml:space="preserve">ument are available on request. </w:t>
      </w:r>
      <w:r w:rsidRPr="00A95B27">
        <w:rPr>
          <w:rFonts w:ascii="Arial" w:eastAsia="Times New Roman" w:hAnsi="Arial" w:cs="Times New Roman"/>
          <w:b/>
          <w:bCs/>
          <w:szCs w:val="26"/>
        </w:rPr>
        <w:t xml:space="preserve">Please send a request to </w:t>
      </w:r>
      <w:hyperlink r:id="rId10" w:history="1">
        <w:r w:rsidRPr="00A95B27">
          <w:rPr>
            <w:rStyle w:val="Hyperlink"/>
            <w:rFonts w:ascii="Arial" w:eastAsia="Times New Roman" w:hAnsi="Arial" w:cs="Times New Roman"/>
            <w:b/>
            <w:bCs/>
            <w:szCs w:val="26"/>
          </w:rPr>
          <w:t>provider.digitisation@nhs.net</w:t>
        </w:r>
      </w:hyperlink>
      <w:r w:rsidRPr="00A95B27">
        <w:rPr>
          <w:rFonts w:ascii="Arial" w:eastAsia="Times New Roman" w:hAnsi="Arial" w:cs="Times New Roman"/>
          <w:b/>
          <w:bCs/>
          <w:sz w:val="24"/>
          <w:szCs w:val="26"/>
        </w:rPr>
        <w:t>.</w:t>
      </w:r>
      <w:r>
        <w:rPr>
          <w:rFonts w:ascii="Arial" w:eastAsia="Times New Roman" w:hAnsi="Arial" w:cs="Times New Roman"/>
          <w:bCs/>
          <w:sz w:val="24"/>
          <w:szCs w:val="26"/>
        </w:rPr>
        <w:br w:type="page"/>
      </w:r>
    </w:p>
    <w:p w14:paraId="1B368470" w14:textId="1583837F" w:rsidR="00217689" w:rsidRDefault="00217689" w:rsidP="001F5D19">
      <w:pPr>
        <w:pStyle w:val="TOCHeading"/>
        <w:rPr>
          <w:rFonts w:ascii="Arial" w:eastAsia="Times New Roman" w:hAnsi="Arial" w:cs="Times New Roman"/>
          <w:sz w:val="24"/>
          <w:szCs w:val="26"/>
        </w:rPr>
      </w:pPr>
    </w:p>
    <w:sdt>
      <w:sdtPr>
        <w:rPr>
          <w:b/>
          <w:bCs/>
        </w:rPr>
        <w:id w:val="-521856337"/>
        <w:docPartObj>
          <w:docPartGallery w:val="Table of Contents"/>
          <w:docPartUnique/>
        </w:docPartObj>
      </w:sdtPr>
      <w:sdtEndPr>
        <w:rPr>
          <w:rFonts w:ascii="Arial" w:hAnsi="Arial" w:cs="Arial"/>
          <w:b w:val="0"/>
          <w:bCs w:val="0"/>
          <w:noProof/>
        </w:rPr>
      </w:sdtEndPr>
      <w:sdtContent>
        <w:p w14:paraId="5C19409F" w14:textId="40DDE211" w:rsidR="001F5D19" w:rsidRDefault="001F5D19" w:rsidP="00217689"/>
        <w:p w14:paraId="4FD0FD8F" w14:textId="77777777" w:rsidR="001F5D19" w:rsidRPr="00D52000" w:rsidRDefault="001F5D19" w:rsidP="00D52000">
          <w:pPr>
            <w:spacing w:after="0" w:line="240" w:lineRule="auto"/>
            <w:ind w:left="432" w:hanging="432"/>
            <w:outlineLvl w:val="0"/>
            <w:rPr>
              <w:rFonts w:ascii="Arial" w:eastAsia="Times New Roman" w:hAnsi="Arial" w:cs="Arial"/>
              <w:b/>
              <w:bCs/>
              <w:color w:val="0072C6"/>
              <w:kern w:val="32"/>
              <w:sz w:val="32"/>
              <w:szCs w:val="32"/>
            </w:rPr>
          </w:pPr>
          <w:bookmarkStart w:id="3" w:name="_Toc521080038"/>
          <w:r w:rsidRPr="00D52000">
            <w:rPr>
              <w:rFonts w:ascii="Arial" w:eastAsia="Times New Roman" w:hAnsi="Arial" w:cs="Arial"/>
              <w:b/>
              <w:bCs/>
              <w:color w:val="0072C6"/>
              <w:kern w:val="32"/>
              <w:sz w:val="32"/>
              <w:szCs w:val="32"/>
            </w:rPr>
            <w:t>Contents</w:t>
          </w:r>
          <w:bookmarkEnd w:id="3"/>
        </w:p>
        <w:p w14:paraId="1F9C4313" w14:textId="77777777" w:rsidR="001F5D19" w:rsidRPr="004E2251" w:rsidRDefault="001F5D19" w:rsidP="001F5D19">
          <w:pPr>
            <w:rPr>
              <w:lang w:val="en-US" w:eastAsia="ja-JP"/>
            </w:rPr>
          </w:pPr>
        </w:p>
        <w:p w14:paraId="64A2AAB0" w14:textId="77777777" w:rsidR="00932C88" w:rsidRDefault="001F5D19">
          <w:pPr>
            <w:pStyle w:val="TOC1"/>
            <w:rPr>
              <w:rFonts w:eastAsiaTheme="minorEastAsia"/>
              <w:noProof/>
              <w:lang w:eastAsia="en-GB"/>
            </w:rPr>
          </w:pPr>
          <w:r>
            <w:fldChar w:fldCharType="begin"/>
          </w:r>
          <w:r>
            <w:instrText xml:space="preserve"> TOC \o "1-3" \h \z \u </w:instrText>
          </w:r>
          <w:r>
            <w:fldChar w:fldCharType="separate"/>
          </w:r>
          <w:hyperlink w:anchor="_Toc521080038" w:history="1">
            <w:r w:rsidR="00932C88" w:rsidRPr="001748C5">
              <w:rPr>
                <w:rStyle w:val="Hyperlink"/>
                <w:rFonts w:ascii="Arial" w:eastAsia="Times New Roman" w:hAnsi="Arial" w:cs="Arial"/>
                <w:b/>
                <w:bCs/>
                <w:noProof/>
                <w:kern w:val="32"/>
              </w:rPr>
              <w:t>Contents</w:t>
            </w:r>
            <w:r w:rsidR="00932C88">
              <w:rPr>
                <w:noProof/>
                <w:webHidden/>
              </w:rPr>
              <w:tab/>
            </w:r>
            <w:r w:rsidR="00932C88">
              <w:rPr>
                <w:noProof/>
                <w:webHidden/>
              </w:rPr>
              <w:fldChar w:fldCharType="begin"/>
            </w:r>
            <w:r w:rsidR="00932C88">
              <w:rPr>
                <w:noProof/>
                <w:webHidden/>
              </w:rPr>
              <w:instrText xml:space="preserve"> PAGEREF _Toc521080038 \h </w:instrText>
            </w:r>
            <w:r w:rsidR="00932C88">
              <w:rPr>
                <w:noProof/>
                <w:webHidden/>
              </w:rPr>
            </w:r>
            <w:r w:rsidR="00932C88">
              <w:rPr>
                <w:noProof/>
                <w:webHidden/>
              </w:rPr>
              <w:fldChar w:fldCharType="separate"/>
            </w:r>
            <w:r w:rsidR="00932C88">
              <w:rPr>
                <w:noProof/>
                <w:webHidden/>
              </w:rPr>
              <w:t>3</w:t>
            </w:r>
            <w:r w:rsidR="00932C88">
              <w:rPr>
                <w:noProof/>
                <w:webHidden/>
              </w:rPr>
              <w:fldChar w:fldCharType="end"/>
            </w:r>
          </w:hyperlink>
        </w:p>
        <w:p w14:paraId="4F7B043E" w14:textId="77777777" w:rsidR="00932C88" w:rsidRDefault="006C1F1E">
          <w:pPr>
            <w:pStyle w:val="TOC1"/>
            <w:rPr>
              <w:rFonts w:eastAsiaTheme="minorEastAsia"/>
              <w:noProof/>
              <w:lang w:eastAsia="en-GB"/>
            </w:rPr>
          </w:pPr>
          <w:hyperlink w:anchor="_Toc521080039" w:history="1">
            <w:r w:rsidR="00932C88" w:rsidRPr="001748C5">
              <w:rPr>
                <w:rStyle w:val="Hyperlink"/>
                <w:rFonts w:ascii="Arial" w:eastAsia="Times New Roman" w:hAnsi="Arial" w:cs="Arial"/>
                <w:b/>
                <w:bCs/>
                <w:noProof/>
                <w:kern w:val="32"/>
              </w:rPr>
              <w:t>1</w:t>
            </w:r>
            <w:r w:rsidR="00932C88">
              <w:rPr>
                <w:rFonts w:eastAsiaTheme="minorEastAsia"/>
                <w:noProof/>
                <w:lang w:eastAsia="en-GB"/>
              </w:rPr>
              <w:tab/>
            </w:r>
            <w:r w:rsidR="00932C88" w:rsidRPr="001748C5">
              <w:rPr>
                <w:rStyle w:val="Hyperlink"/>
                <w:rFonts w:ascii="Arial" w:eastAsia="Times New Roman" w:hAnsi="Arial" w:cs="Arial"/>
                <w:b/>
                <w:bCs/>
                <w:noProof/>
                <w:kern w:val="32"/>
              </w:rPr>
              <w:t>Introduction</w:t>
            </w:r>
            <w:r w:rsidR="00932C88">
              <w:rPr>
                <w:noProof/>
                <w:webHidden/>
              </w:rPr>
              <w:tab/>
            </w:r>
            <w:r w:rsidR="00932C88">
              <w:rPr>
                <w:noProof/>
                <w:webHidden/>
              </w:rPr>
              <w:fldChar w:fldCharType="begin"/>
            </w:r>
            <w:r w:rsidR="00932C88">
              <w:rPr>
                <w:noProof/>
                <w:webHidden/>
              </w:rPr>
              <w:instrText xml:space="preserve"> PAGEREF _Toc521080039 \h </w:instrText>
            </w:r>
            <w:r w:rsidR="00932C88">
              <w:rPr>
                <w:noProof/>
                <w:webHidden/>
              </w:rPr>
            </w:r>
            <w:r w:rsidR="00932C88">
              <w:rPr>
                <w:noProof/>
                <w:webHidden/>
              </w:rPr>
              <w:fldChar w:fldCharType="separate"/>
            </w:r>
            <w:r w:rsidR="00932C88">
              <w:rPr>
                <w:noProof/>
                <w:webHidden/>
              </w:rPr>
              <w:t>4</w:t>
            </w:r>
            <w:r w:rsidR="00932C88">
              <w:rPr>
                <w:noProof/>
                <w:webHidden/>
              </w:rPr>
              <w:fldChar w:fldCharType="end"/>
            </w:r>
          </w:hyperlink>
        </w:p>
        <w:p w14:paraId="3D5EA45A" w14:textId="77777777" w:rsidR="00932C88" w:rsidRDefault="006C1F1E">
          <w:pPr>
            <w:pStyle w:val="TOC1"/>
            <w:rPr>
              <w:rFonts w:eastAsiaTheme="minorEastAsia"/>
              <w:noProof/>
              <w:lang w:eastAsia="en-GB"/>
            </w:rPr>
          </w:pPr>
          <w:hyperlink w:anchor="_Toc521080040" w:history="1">
            <w:r w:rsidR="00932C88" w:rsidRPr="001748C5">
              <w:rPr>
                <w:rStyle w:val="Hyperlink"/>
                <w:rFonts w:ascii="Arial" w:eastAsia="Times New Roman" w:hAnsi="Arial" w:cs="Arial"/>
                <w:b/>
                <w:bCs/>
                <w:noProof/>
                <w:kern w:val="32"/>
              </w:rPr>
              <w:t>2</w:t>
            </w:r>
            <w:r w:rsidR="00932C88">
              <w:rPr>
                <w:rFonts w:eastAsiaTheme="minorEastAsia"/>
                <w:noProof/>
                <w:lang w:eastAsia="en-GB"/>
              </w:rPr>
              <w:tab/>
            </w:r>
            <w:r w:rsidR="00932C88" w:rsidRPr="001748C5">
              <w:rPr>
                <w:rStyle w:val="Hyperlink"/>
                <w:rFonts w:ascii="Arial" w:eastAsia="Times New Roman" w:hAnsi="Arial" w:cs="Arial"/>
                <w:b/>
                <w:bCs/>
                <w:noProof/>
                <w:kern w:val="32"/>
              </w:rPr>
              <w:t>Health System Led Investment in provider digitisation</w:t>
            </w:r>
            <w:r w:rsidR="00932C88">
              <w:rPr>
                <w:noProof/>
                <w:webHidden/>
              </w:rPr>
              <w:tab/>
            </w:r>
            <w:r w:rsidR="00932C88">
              <w:rPr>
                <w:noProof/>
                <w:webHidden/>
              </w:rPr>
              <w:fldChar w:fldCharType="begin"/>
            </w:r>
            <w:r w:rsidR="00932C88">
              <w:rPr>
                <w:noProof/>
                <w:webHidden/>
              </w:rPr>
              <w:instrText xml:space="preserve"> PAGEREF _Toc521080040 \h </w:instrText>
            </w:r>
            <w:r w:rsidR="00932C88">
              <w:rPr>
                <w:noProof/>
                <w:webHidden/>
              </w:rPr>
            </w:r>
            <w:r w:rsidR="00932C88">
              <w:rPr>
                <w:noProof/>
                <w:webHidden/>
              </w:rPr>
              <w:fldChar w:fldCharType="separate"/>
            </w:r>
            <w:r w:rsidR="00932C88">
              <w:rPr>
                <w:noProof/>
                <w:webHidden/>
              </w:rPr>
              <w:t>8</w:t>
            </w:r>
            <w:r w:rsidR="00932C88">
              <w:rPr>
                <w:noProof/>
                <w:webHidden/>
              </w:rPr>
              <w:fldChar w:fldCharType="end"/>
            </w:r>
          </w:hyperlink>
        </w:p>
        <w:p w14:paraId="72D3E4C3" w14:textId="77777777" w:rsidR="00932C88" w:rsidRDefault="006C1F1E">
          <w:pPr>
            <w:pStyle w:val="TOC1"/>
            <w:rPr>
              <w:rFonts w:eastAsiaTheme="minorEastAsia"/>
              <w:noProof/>
              <w:lang w:eastAsia="en-GB"/>
            </w:rPr>
          </w:pPr>
          <w:hyperlink w:anchor="_Toc521080041" w:history="1">
            <w:r w:rsidR="00932C88" w:rsidRPr="001748C5">
              <w:rPr>
                <w:rStyle w:val="Hyperlink"/>
                <w:rFonts w:ascii="Arial" w:eastAsia="Times New Roman" w:hAnsi="Arial" w:cs="Arial"/>
                <w:b/>
                <w:bCs/>
                <w:noProof/>
                <w:kern w:val="32"/>
              </w:rPr>
              <w:t>3</w:t>
            </w:r>
            <w:r w:rsidR="00932C88">
              <w:rPr>
                <w:rFonts w:eastAsiaTheme="minorEastAsia"/>
                <w:noProof/>
                <w:lang w:eastAsia="en-GB"/>
              </w:rPr>
              <w:tab/>
            </w:r>
            <w:r w:rsidR="00932C88" w:rsidRPr="001748C5">
              <w:rPr>
                <w:rStyle w:val="Hyperlink"/>
                <w:rFonts w:ascii="Arial" w:eastAsia="Times New Roman" w:hAnsi="Arial" w:cs="Arial"/>
                <w:b/>
                <w:bCs/>
                <w:noProof/>
                <w:kern w:val="32"/>
              </w:rPr>
              <w:t>Eligible investments</w:t>
            </w:r>
            <w:r w:rsidR="00932C88">
              <w:rPr>
                <w:noProof/>
                <w:webHidden/>
              </w:rPr>
              <w:tab/>
            </w:r>
            <w:r w:rsidR="00932C88">
              <w:rPr>
                <w:noProof/>
                <w:webHidden/>
              </w:rPr>
              <w:fldChar w:fldCharType="begin"/>
            </w:r>
            <w:r w:rsidR="00932C88">
              <w:rPr>
                <w:noProof/>
                <w:webHidden/>
              </w:rPr>
              <w:instrText xml:space="preserve"> PAGEREF _Toc521080041 \h </w:instrText>
            </w:r>
            <w:r w:rsidR="00932C88">
              <w:rPr>
                <w:noProof/>
                <w:webHidden/>
              </w:rPr>
            </w:r>
            <w:r w:rsidR="00932C88">
              <w:rPr>
                <w:noProof/>
                <w:webHidden/>
              </w:rPr>
              <w:fldChar w:fldCharType="separate"/>
            </w:r>
            <w:r w:rsidR="00932C88">
              <w:rPr>
                <w:noProof/>
                <w:webHidden/>
              </w:rPr>
              <w:t>10</w:t>
            </w:r>
            <w:r w:rsidR="00932C88">
              <w:rPr>
                <w:noProof/>
                <w:webHidden/>
              </w:rPr>
              <w:fldChar w:fldCharType="end"/>
            </w:r>
          </w:hyperlink>
        </w:p>
        <w:p w14:paraId="45FC0566" w14:textId="77777777" w:rsidR="00932C88" w:rsidRDefault="006C1F1E">
          <w:pPr>
            <w:pStyle w:val="TOC1"/>
            <w:rPr>
              <w:rFonts w:eastAsiaTheme="minorEastAsia"/>
              <w:noProof/>
              <w:lang w:eastAsia="en-GB"/>
            </w:rPr>
          </w:pPr>
          <w:hyperlink w:anchor="_Toc521080042" w:history="1">
            <w:r w:rsidR="00932C88" w:rsidRPr="001748C5">
              <w:rPr>
                <w:rStyle w:val="Hyperlink"/>
                <w:rFonts w:ascii="Arial" w:eastAsia="Times New Roman" w:hAnsi="Arial" w:cs="Arial"/>
                <w:b/>
                <w:bCs/>
                <w:noProof/>
                <w:kern w:val="32"/>
              </w:rPr>
              <w:t>4</w:t>
            </w:r>
            <w:r w:rsidR="00932C88">
              <w:rPr>
                <w:rFonts w:eastAsiaTheme="minorEastAsia"/>
                <w:noProof/>
                <w:lang w:eastAsia="en-GB"/>
              </w:rPr>
              <w:tab/>
            </w:r>
            <w:r w:rsidR="00932C88" w:rsidRPr="001748C5">
              <w:rPr>
                <w:rStyle w:val="Hyperlink"/>
                <w:rFonts w:ascii="Arial" w:eastAsia="Times New Roman" w:hAnsi="Arial" w:cs="Arial"/>
                <w:b/>
                <w:bCs/>
                <w:noProof/>
                <w:kern w:val="32"/>
              </w:rPr>
              <w:t>Prioritisation and phasing guidelines</w:t>
            </w:r>
            <w:r w:rsidR="00932C88">
              <w:rPr>
                <w:noProof/>
                <w:webHidden/>
              </w:rPr>
              <w:tab/>
            </w:r>
            <w:r w:rsidR="00932C88">
              <w:rPr>
                <w:noProof/>
                <w:webHidden/>
              </w:rPr>
              <w:fldChar w:fldCharType="begin"/>
            </w:r>
            <w:r w:rsidR="00932C88">
              <w:rPr>
                <w:noProof/>
                <w:webHidden/>
              </w:rPr>
              <w:instrText xml:space="preserve"> PAGEREF _Toc521080042 \h </w:instrText>
            </w:r>
            <w:r w:rsidR="00932C88">
              <w:rPr>
                <w:noProof/>
                <w:webHidden/>
              </w:rPr>
            </w:r>
            <w:r w:rsidR="00932C88">
              <w:rPr>
                <w:noProof/>
                <w:webHidden/>
              </w:rPr>
              <w:fldChar w:fldCharType="separate"/>
            </w:r>
            <w:r w:rsidR="00932C88">
              <w:rPr>
                <w:noProof/>
                <w:webHidden/>
              </w:rPr>
              <w:t>14</w:t>
            </w:r>
            <w:r w:rsidR="00932C88">
              <w:rPr>
                <w:noProof/>
                <w:webHidden/>
              </w:rPr>
              <w:fldChar w:fldCharType="end"/>
            </w:r>
          </w:hyperlink>
        </w:p>
        <w:p w14:paraId="7067FDEE" w14:textId="77777777" w:rsidR="00932C88" w:rsidRDefault="006C1F1E">
          <w:pPr>
            <w:pStyle w:val="TOC1"/>
            <w:rPr>
              <w:rFonts w:eastAsiaTheme="minorEastAsia"/>
              <w:noProof/>
              <w:lang w:eastAsia="en-GB"/>
            </w:rPr>
          </w:pPr>
          <w:hyperlink w:anchor="_Toc521080043" w:history="1">
            <w:r w:rsidR="00932C88" w:rsidRPr="001748C5">
              <w:rPr>
                <w:rStyle w:val="Hyperlink"/>
                <w:rFonts w:ascii="Arial" w:eastAsia="Times New Roman" w:hAnsi="Arial" w:cs="Arial"/>
                <w:b/>
                <w:bCs/>
                <w:noProof/>
                <w:kern w:val="32"/>
              </w:rPr>
              <w:t>5</w:t>
            </w:r>
            <w:r w:rsidR="00932C88">
              <w:rPr>
                <w:rFonts w:eastAsiaTheme="minorEastAsia"/>
                <w:noProof/>
                <w:lang w:eastAsia="en-GB"/>
              </w:rPr>
              <w:tab/>
            </w:r>
            <w:r w:rsidR="00932C88" w:rsidRPr="001748C5">
              <w:rPr>
                <w:rStyle w:val="Hyperlink"/>
                <w:rFonts w:ascii="Arial" w:eastAsia="Times New Roman" w:hAnsi="Arial" w:cs="Arial"/>
                <w:b/>
                <w:bCs/>
                <w:noProof/>
                <w:kern w:val="32"/>
              </w:rPr>
              <w:t>Approval of pri</w:t>
            </w:r>
            <w:r w:rsidR="00932C88" w:rsidRPr="001748C5">
              <w:rPr>
                <w:rStyle w:val="Hyperlink"/>
                <w:rFonts w:ascii="Arial" w:eastAsia="Times New Roman" w:hAnsi="Arial" w:cs="Arial"/>
                <w:b/>
                <w:bCs/>
                <w:noProof/>
                <w:kern w:val="32"/>
              </w:rPr>
              <w:t>o</w:t>
            </w:r>
            <w:r w:rsidR="00932C88" w:rsidRPr="001748C5">
              <w:rPr>
                <w:rStyle w:val="Hyperlink"/>
                <w:rFonts w:ascii="Arial" w:eastAsia="Times New Roman" w:hAnsi="Arial" w:cs="Arial"/>
                <w:b/>
                <w:bCs/>
                <w:noProof/>
                <w:kern w:val="32"/>
              </w:rPr>
              <w:t>ritised investments</w:t>
            </w:r>
            <w:r w:rsidR="00932C88">
              <w:rPr>
                <w:noProof/>
                <w:webHidden/>
              </w:rPr>
              <w:tab/>
            </w:r>
            <w:r w:rsidR="00932C88">
              <w:rPr>
                <w:noProof/>
                <w:webHidden/>
              </w:rPr>
              <w:fldChar w:fldCharType="begin"/>
            </w:r>
            <w:r w:rsidR="00932C88">
              <w:rPr>
                <w:noProof/>
                <w:webHidden/>
              </w:rPr>
              <w:instrText xml:space="preserve"> PAGEREF _Toc521080043 \h </w:instrText>
            </w:r>
            <w:r w:rsidR="00932C88">
              <w:rPr>
                <w:noProof/>
                <w:webHidden/>
              </w:rPr>
            </w:r>
            <w:r w:rsidR="00932C88">
              <w:rPr>
                <w:noProof/>
                <w:webHidden/>
              </w:rPr>
              <w:fldChar w:fldCharType="separate"/>
            </w:r>
            <w:r w:rsidR="00932C88">
              <w:rPr>
                <w:noProof/>
                <w:webHidden/>
              </w:rPr>
              <w:t>16</w:t>
            </w:r>
            <w:r w:rsidR="00932C88">
              <w:rPr>
                <w:noProof/>
                <w:webHidden/>
              </w:rPr>
              <w:fldChar w:fldCharType="end"/>
            </w:r>
          </w:hyperlink>
        </w:p>
        <w:p w14:paraId="60859888" w14:textId="77777777" w:rsidR="00932C88" w:rsidRDefault="006C1F1E">
          <w:pPr>
            <w:pStyle w:val="TOC1"/>
            <w:rPr>
              <w:rFonts w:eastAsiaTheme="minorEastAsia"/>
              <w:noProof/>
              <w:lang w:eastAsia="en-GB"/>
            </w:rPr>
          </w:pPr>
          <w:hyperlink w:anchor="_Toc521080044" w:history="1">
            <w:r w:rsidR="00932C88" w:rsidRPr="001748C5">
              <w:rPr>
                <w:rStyle w:val="Hyperlink"/>
                <w:rFonts w:ascii="Arial" w:eastAsia="Times New Roman" w:hAnsi="Arial" w:cs="Arial"/>
                <w:b/>
                <w:bCs/>
                <w:noProof/>
                <w:kern w:val="32"/>
              </w:rPr>
              <w:t>6</w:t>
            </w:r>
            <w:r w:rsidR="00932C88">
              <w:rPr>
                <w:rFonts w:eastAsiaTheme="minorEastAsia"/>
                <w:noProof/>
                <w:lang w:eastAsia="en-GB"/>
              </w:rPr>
              <w:tab/>
            </w:r>
            <w:r w:rsidR="00932C88" w:rsidRPr="001748C5">
              <w:rPr>
                <w:rStyle w:val="Hyperlink"/>
                <w:rFonts w:ascii="Arial" w:eastAsia="Times New Roman" w:hAnsi="Arial" w:cs="Arial"/>
                <w:b/>
                <w:bCs/>
                <w:noProof/>
                <w:kern w:val="32"/>
              </w:rPr>
              <w:t>The process beyond the Investment Proposal</w:t>
            </w:r>
            <w:r w:rsidR="00932C88">
              <w:rPr>
                <w:noProof/>
                <w:webHidden/>
              </w:rPr>
              <w:tab/>
            </w:r>
            <w:r w:rsidR="00932C88">
              <w:rPr>
                <w:noProof/>
                <w:webHidden/>
              </w:rPr>
              <w:fldChar w:fldCharType="begin"/>
            </w:r>
            <w:r w:rsidR="00932C88">
              <w:rPr>
                <w:noProof/>
                <w:webHidden/>
              </w:rPr>
              <w:instrText xml:space="preserve"> PAGEREF _Toc521080044 \h </w:instrText>
            </w:r>
            <w:r w:rsidR="00932C88">
              <w:rPr>
                <w:noProof/>
                <w:webHidden/>
              </w:rPr>
            </w:r>
            <w:r w:rsidR="00932C88">
              <w:rPr>
                <w:noProof/>
                <w:webHidden/>
              </w:rPr>
              <w:fldChar w:fldCharType="separate"/>
            </w:r>
            <w:r w:rsidR="00932C88">
              <w:rPr>
                <w:noProof/>
                <w:webHidden/>
              </w:rPr>
              <w:t>18</w:t>
            </w:r>
            <w:r w:rsidR="00932C88">
              <w:rPr>
                <w:noProof/>
                <w:webHidden/>
              </w:rPr>
              <w:fldChar w:fldCharType="end"/>
            </w:r>
          </w:hyperlink>
        </w:p>
        <w:p w14:paraId="00398A07" w14:textId="77777777" w:rsidR="00932C88" w:rsidRDefault="006C1F1E">
          <w:pPr>
            <w:pStyle w:val="TOC1"/>
            <w:rPr>
              <w:rFonts w:eastAsiaTheme="minorEastAsia"/>
              <w:noProof/>
              <w:lang w:eastAsia="en-GB"/>
            </w:rPr>
          </w:pPr>
          <w:hyperlink w:anchor="_Toc521080045" w:history="1">
            <w:r w:rsidR="00932C88" w:rsidRPr="001748C5">
              <w:rPr>
                <w:rStyle w:val="Hyperlink"/>
                <w:rFonts w:ascii="Arial" w:eastAsia="Times New Roman" w:hAnsi="Arial" w:cs="Arial"/>
                <w:b/>
                <w:bCs/>
                <w:noProof/>
                <w:kern w:val="32"/>
              </w:rPr>
              <w:t>7</w:t>
            </w:r>
            <w:r w:rsidR="00932C88">
              <w:rPr>
                <w:rFonts w:eastAsiaTheme="minorEastAsia"/>
                <w:noProof/>
                <w:lang w:eastAsia="en-GB"/>
              </w:rPr>
              <w:tab/>
            </w:r>
            <w:r w:rsidR="00932C88" w:rsidRPr="001748C5">
              <w:rPr>
                <w:rStyle w:val="Hyperlink"/>
                <w:rFonts w:ascii="Arial" w:eastAsia="Times New Roman" w:hAnsi="Arial" w:cs="Arial"/>
                <w:b/>
                <w:bCs/>
                <w:noProof/>
                <w:kern w:val="32"/>
              </w:rPr>
              <w:t>Reciprocal requirements and expectations for STP/ICSs</w:t>
            </w:r>
            <w:r w:rsidR="00932C88">
              <w:rPr>
                <w:noProof/>
                <w:webHidden/>
              </w:rPr>
              <w:tab/>
            </w:r>
            <w:r w:rsidR="00932C88">
              <w:rPr>
                <w:noProof/>
                <w:webHidden/>
              </w:rPr>
              <w:fldChar w:fldCharType="begin"/>
            </w:r>
            <w:r w:rsidR="00932C88">
              <w:rPr>
                <w:noProof/>
                <w:webHidden/>
              </w:rPr>
              <w:instrText xml:space="preserve"> PAGEREF _Toc521080045 \h </w:instrText>
            </w:r>
            <w:r w:rsidR="00932C88">
              <w:rPr>
                <w:noProof/>
                <w:webHidden/>
              </w:rPr>
            </w:r>
            <w:r w:rsidR="00932C88">
              <w:rPr>
                <w:noProof/>
                <w:webHidden/>
              </w:rPr>
              <w:fldChar w:fldCharType="separate"/>
            </w:r>
            <w:r w:rsidR="00932C88">
              <w:rPr>
                <w:noProof/>
                <w:webHidden/>
              </w:rPr>
              <w:t>20</w:t>
            </w:r>
            <w:r w:rsidR="00932C88">
              <w:rPr>
                <w:noProof/>
                <w:webHidden/>
              </w:rPr>
              <w:fldChar w:fldCharType="end"/>
            </w:r>
          </w:hyperlink>
        </w:p>
        <w:p w14:paraId="3A70E23F" w14:textId="77777777" w:rsidR="00932C88" w:rsidRDefault="006C1F1E">
          <w:pPr>
            <w:pStyle w:val="TOC1"/>
            <w:rPr>
              <w:rFonts w:eastAsiaTheme="minorEastAsia"/>
              <w:noProof/>
              <w:lang w:eastAsia="en-GB"/>
            </w:rPr>
          </w:pPr>
          <w:hyperlink w:anchor="_Toc521080046" w:history="1">
            <w:r w:rsidR="00932C88" w:rsidRPr="001748C5">
              <w:rPr>
                <w:rStyle w:val="Hyperlink"/>
                <w:rFonts w:ascii="Arial" w:eastAsia="Times New Roman" w:hAnsi="Arial" w:cs="Arial"/>
                <w:b/>
                <w:bCs/>
                <w:noProof/>
                <w:kern w:val="32"/>
              </w:rPr>
              <w:t>Annex A – Scoring guidelines</w:t>
            </w:r>
            <w:r w:rsidR="00932C88">
              <w:rPr>
                <w:noProof/>
                <w:webHidden/>
              </w:rPr>
              <w:tab/>
            </w:r>
            <w:r w:rsidR="00932C88">
              <w:rPr>
                <w:noProof/>
                <w:webHidden/>
              </w:rPr>
              <w:fldChar w:fldCharType="begin"/>
            </w:r>
            <w:r w:rsidR="00932C88">
              <w:rPr>
                <w:noProof/>
                <w:webHidden/>
              </w:rPr>
              <w:instrText xml:space="preserve"> PAGEREF _Toc521080046 \h </w:instrText>
            </w:r>
            <w:r w:rsidR="00932C88">
              <w:rPr>
                <w:noProof/>
                <w:webHidden/>
              </w:rPr>
            </w:r>
            <w:r w:rsidR="00932C88">
              <w:rPr>
                <w:noProof/>
                <w:webHidden/>
              </w:rPr>
              <w:fldChar w:fldCharType="separate"/>
            </w:r>
            <w:r w:rsidR="00932C88">
              <w:rPr>
                <w:noProof/>
                <w:webHidden/>
              </w:rPr>
              <w:t>23</w:t>
            </w:r>
            <w:r w:rsidR="00932C88">
              <w:rPr>
                <w:noProof/>
                <w:webHidden/>
              </w:rPr>
              <w:fldChar w:fldCharType="end"/>
            </w:r>
          </w:hyperlink>
        </w:p>
        <w:p w14:paraId="3F8929DA" w14:textId="77777777" w:rsidR="001F5D19" w:rsidRPr="004E2251" w:rsidRDefault="001F5D19" w:rsidP="001F5D19">
          <w:pPr>
            <w:rPr>
              <w:rFonts w:ascii="Arial" w:hAnsi="Arial" w:cs="Arial"/>
            </w:rPr>
          </w:pPr>
          <w:r>
            <w:rPr>
              <w:b/>
              <w:bCs/>
              <w:noProof/>
            </w:rPr>
            <w:fldChar w:fldCharType="end"/>
          </w:r>
        </w:p>
      </w:sdtContent>
    </w:sdt>
    <w:p w14:paraId="0C175C07" w14:textId="77777777" w:rsidR="001F5D19" w:rsidRDefault="001F5D19" w:rsidP="001F5D19">
      <w:pPr>
        <w:rPr>
          <w:rFonts w:ascii="Arial" w:hAnsi="Arial" w:cs="Arial"/>
          <w:noProof/>
          <w:sz w:val="24"/>
          <w:szCs w:val="24"/>
        </w:rPr>
      </w:pPr>
    </w:p>
    <w:p w14:paraId="59C71963" w14:textId="3229985F" w:rsidR="001F5D19" w:rsidRDefault="001F5D19" w:rsidP="00D27EB7">
      <w:pPr>
        <w:jc w:val="center"/>
        <w:rPr>
          <w:rFonts w:ascii="Arial" w:eastAsiaTheme="majorEastAsia" w:hAnsi="Arial" w:cs="Arial"/>
          <w:b/>
          <w:bCs/>
          <w:sz w:val="24"/>
          <w:szCs w:val="28"/>
        </w:rPr>
      </w:pPr>
      <w:r>
        <w:rPr>
          <w:rFonts w:ascii="Arial" w:hAnsi="Arial" w:cs="Arial"/>
          <w:sz w:val="24"/>
        </w:rPr>
        <w:br w:type="page"/>
      </w:r>
    </w:p>
    <w:p w14:paraId="4625C002" w14:textId="77777777" w:rsidR="001F5D19" w:rsidRPr="00932C88" w:rsidRDefault="001F5D19" w:rsidP="006A3EB5">
      <w:pPr>
        <w:numPr>
          <w:ilvl w:val="0"/>
          <w:numId w:val="4"/>
        </w:numPr>
        <w:spacing w:after="0" w:line="240" w:lineRule="auto"/>
        <w:outlineLvl w:val="0"/>
        <w:rPr>
          <w:rFonts w:ascii="Arial" w:eastAsia="Times New Roman" w:hAnsi="Arial" w:cs="Arial"/>
          <w:b/>
          <w:bCs/>
          <w:color w:val="0072C6"/>
          <w:kern w:val="32"/>
          <w:sz w:val="28"/>
          <w:szCs w:val="32"/>
        </w:rPr>
      </w:pPr>
      <w:bookmarkStart w:id="4" w:name="_Toc521080039"/>
      <w:r w:rsidRPr="00932C88">
        <w:rPr>
          <w:rFonts w:ascii="Arial" w:eastAsia="Times New Roman" w:hAnsi="Arial" w:cs="Arial"/>
          <w:b/>
          <w:bCs/>
          <w:color w:val="0072C6"/>
          <w:kern w:val="32"/>
          <w:sz w:val="28"/>
          <w:szCs w:val="32"/>
        </w:rPr>
        <w:lastRenderedPageBreak/>
        <w:t>Introduction</w:t>
      </w:r>
      <w:bookmarkEnd w:id="4"/>
    </w:p>
    <w:p w14:paraId="3143ECC9" w14:textId="77777777" w:rsidR="001F5D19" w:rsidRDefault="001F5D19" w:rsidP="001F5D19">
      <w:pPr>
        <w:autoSpaceDE w:val="0"/>
        <w:autoSpaceDN w:val="0"/>
        <w:adjustRightInd w:val="0"/>
        <w:spacing w:after="0"/>
        <w:rPr>
          <w:rFonts w:ascii="Arial" w:eastAsia="Times New Roman" w:hAnsi="Arial" w:cs="Arial"/>
          <w:sz w:val="24"/>
          <w:szCs w:val="24"/>
          <w:lang w:eastAsia="en-GB"/>
        </w:rPr>
      </w:pPr>
    </w:p>
    <w:p w14:paraId="15DFAF9E" w14:textId="77777777" w:rsidR="00B05A0F" w:rsidRPr="00932C88" w:rsidRDefault="00B05A0F" w:rsidP="00B05A0F">
      <w:pPr>
        <w:pStyle w:val="ListParagraph"/>
        <w:ind w:left="426"/>
        <w:rPr>
          <w:rFonts w:ascii="Arial" w:hAnsi="Arial" w:cs="Arial"/>
          <w:b/>
        </w:rPr>
      </w:pPr>
      <w:r w:rsidRPr="00932C88">
        <w:rPr>
          <w:rFonts w:ascii="Arial" w:hAnsi="Arial" w:cs="Arial"/>
          <w:b/>
        </w:rPr>
        <w:t>Context</w:t>
      </w:r>
    </w:p>
    <w:p w14:paraId="4160F6A6" w14:textId="77777777" w:rsidR="00B05A0F" w:rsidRDefault="00B05A0F" w:rsidP="00B05A0F">
      <w:pPr>
        <w:pStyle w:val="ListParagraph"/>
        <w:autoSpaceDE w:val="0"/>
        <w:autoSpaceDN w:val="0"/>
        <w:adjustRightInd w:val="0"/>
        <w:ind w:left="567"/>
        <w:rPr>
          <w:rFonts w:ascii="Arial" w:hAnsi="Arial" w:cs="Arial"/>
        </w:rPr>
      </w:pPr>
    </w:p>
    <w:p w14:paraId="3FE30543" w14:textId="77777777" w:rsidR="00150E93" w:rsidRPr="00150E93" w:rsidRDefault="00150E93" w:rsidP="00924AB9">
      <w:pPr>
        <w:pStyle w:val="ListParagraph"/>
        <w:numPr>
          <w:ilvl w:val="1"/>
          <w:numId w:val="5"/>
        </w:numPr>
        <w:autoSpaceDE w:val="0"/>
        <w:autoSpaceDN w:val="0"/>
        <w:adjustRightInd w:val="0"/>
        <w:ind w:left="567" w:hanging="567"/>
        <w:rPr>
          <w:rFonts w:ascii="Arial" w:hAnsi="Arial" w:cs="Arial"/>
        </w:rPr>
      </w:pPr>
      <w:r w:rsidRPr="00150E93">
        <w:rPr>
          <w:rFonts w:ascii="Arial" w:hAnsi="Arial" w:cs="Arial"/>
        </w:rPr>
        <w:t>The NHS Five Year Forward View, published in October 2014, promoted digital technology as a key enabler of the changes required to make the NHS sustainable in the long term. It made a commitment to ‘fully interoperable electronic health records so that patient’s records are paperless</w:t>
      </w:r>
      <w:r>
        <w:rPr>
          <w:rFonts w:ascii="Arial" w:hAnsi="Arial" w:cs="Arial"/>
        </w:rPr>
        <w:t>’.</w:t>
      </w:r>
      <w:r w:rsidRPr="00150E93">
        <w:rPr>
          <w:rFonts w:ascii="Arial" w:hAnsi="Arial" w:cs="Arial"/>
        </w:rPr>
        <w:t xml:space="preserve"> </w:t>
      </w:r>
    </w:p>
    <w:p w14:paraId="034DB5B5" w14:textId="77777777" w:rsidR="00A60A38" w:rsidRDefault="00A60A38" w:rsidP="00924AB9">
      <w:pPr>
        <w:pStyle w:val="ListParagraph"/>
        <w:autoSpaceDE w:val="0"/>
        <w:autoSpaceDN w:val="0"/>
        <w:adjustRightInd w:val="0"/>
        <w:ind w:left="567"/>
        <w:rPr>
          <w:rFonts w:ascii="Arial" w:hAnsi="Arial" w:cs="Arial"/>
        </w:rPr>
      </w:pPr>
    </w:p>
    <w:p w14:paraId="5740967A" w14:textId="77777777" w:rsidR="00540C50" w:rsidRDefault="00932B71" w:rsidP="003F3068">
      <w:pPr>
        <w:pStyle w:val="ListParagraph"/>
        <w:numPr>
          <w:ilvl w:val="1"/>
          <w:numId w:val="5"/>
        </w:numPr>
        <w:autoSpaceDE w:val="0"/>
        <w:autoSpaceDN w:val="0"/>
        <w:adjustRightInd w:val="0"/>
        <w:ind w:left="567" w:hanging="567"/>
        <w:rPr>
          <w:rFonts w:ascii="Arial" w:hAnsi="Arial" w:cs="Arial"/>
        </w:rPr>
      </w:pPr>
      <w:r w:rsidRPr="00932B71">
        <w:rPr>
          <w:rFonts w:ascii="Arial" w:hAnsi="Arial" w:cs="Arial"/>
        </w:rPr>
        <w:t xml:space="preserve">In </w:t>
      </w:r>
      <w:r w:rsidR="00E60585">
        <w:rPr>
          <w:rFonts w:ascii="Arial" w:hAnsi="Arial" w:cs="Arial"/>
        </w:rPr>
        <w:t xml:space="preserve">September 2016, an </w:t>
      </w:r>
      <w:r>
        <w:rPr>
          <w:rFonts w:ascii="Arial" w:hAnsi="Arial" w:cs="Arial"/>
        </w:rPr>
        <w:t>independent review, led by Professor Robert Wachter,</w:t>
      </w:r>
      <w:r w:rsidRPr="00932B71">
        <w:rPr>
          <w:rFonts w:ascii="Arial" w:hAnsi="Arial" w:cs="Arial"/>
          <w:sz w:val="22"/>
          <w:szCs w:val="22"/>
          <w:lang w:eastAsia="en-US"/>
        </w:rPr>
        <w:t xml:space="preserve"> </w:t>
      </w:r>
      <w:r w:rsidR="00E60585" w:rsidRPr="00932C88">
        <w:rPr>
          <w:rFonts w:ascii="Arial" w:hAnsi="Arial" w:cs="Arial"/>
          <w:szCs w:val="22"/>
          <w:lang w:eastAsia="en-US"/>
        </w:rPr>
        <w:t xml:space="preserve">published </w:t>
      </w:r>
      <w:r w:rsidR="00EB67A3" w:rsidRPr="00EB67A3">
        <w:rPr>
          <w:rFonts w:ascii="Arial" w:hAnsi="Arial" w:cs="Arial"/>
        </w:rPr>
        <w:t>‘</w:t>
      </w:r>
      <w:r w:rsidRPr="00EB67A3">
        <w:rPr>
          <w:rFonts w:ascii="Arial" w:hAnsi="Arial" w:cs="Arial"/>
          <w:lang w:val="en"/>
        </w:rPr>
        <w:t>Making IT work: harnessing the power of health information technology to improve care in England</w:t>
      </w:r>
      <w:r w:rsidR="00EB67A3" w:rsidRPr="00EB67A3">
        <w:rPr>
          <w:rFonts w:ascii="Arial" w:hAnsi="Arial" w:cs="Arial"/>
          <w:lang w:val="en"/>
        </w:rPr>
        <w:t>’</w:t>
      </w:r>
      <w:r w:rsidR="00E60585">
        <w:rPr>
          <w:rFonts w:ascii="Arial" w:hAnsi="Arial" w:cs="Arial"/>
          <w:lang w:val="en"/>
        </w:rPr>
        <w:t>.</w:t>
      </w:r>
      <w:r>
        <w:rPr>
          <w:rFonts w:ascii="Arial" w:hAnsi="Arial" w:cs="Arial"/>
          <w:lang w:val="en"/>
        </w:rPr>
        <w:t xml:space="preserve"> The review concluded that </w:t>
      </w:r>
      <w:r w:rsidRPr="00932B71">
        <w:rPr>
          <w:rFonts w:ascii="Arial" w:hAnsi="Arial" w:cs="Arial"/>
        </w:rPr>
        <w:t>“To those who wonder whether the NHS can afford an ambitious effort to digitise in today’s environment of austerity and a myriad of ongoing challenges, we believe the answer is clear: the one thing that NHS cannot afford to do is to remain a largely non-digital syst</w:t>
      </w:r>
      <w:r>
        <w:rPr>
          <w:rFonts w:ascii="Arial" w:hAnsi="Arial" w:cs="Arial"/>
        </w:rPr>
        <w:t>em. It is time to get on with IT”.</w:t>
      </w:r>
    </w:p>
    <w:p w14:paraId="63D9A93A" w14:textId="77777777" w:rsidR="00540C50" w:rsidRPr="00924AB9" w:rsidRDefault="00540C50" w:rsidP="00924AB9">
      <w:pPr>
        <w:pStyle w:val="ListParagraph"/>
        <w:rPr>
          <w:rFonts w:ascii="Arial" w:hAnsi="Arial" w:cs="Arial"/>
        </w:rPr>
      </w:pPr>
    </w:p>
    <w:p w14:paraId="303DFDEC" w14:textId="477AA7D5" w:rsidR="005A5E69" w:rsidRDefault="00226118" w:rsidP="003F3068">
      <w:pPr>
        <w:pStyle w:val="ListParagraph"/>
        <w:numPr>
          <w:ilvl w:val="1"/>
          <w:numId w:val="5"/>
        </w:numPr>
        <w:autoSpaceDE w:val="0"/>
        <w:autoSpaceDN w:val="0"/>
        <w:adjustRightInd w:val="0"/>
        <w:ind w:left="567" w:hanging="567"/>
        <w:rPr>
          <w:rFonts w:ascii="Arial" w:hAnsi="Arial" w:cs="Arial"/>
        </w:rPr>
      </w:pPr>
      <w:r w:rsidRPr="00226118">
        <w:rPr>
          <w:rFonts w:ascii="Arial" w:hAnsi="Arial" w:cs="Arial"/>
        </w:rPr>
        <w:t xml:space="preserve">The </w:t>
      </w:r>
      <w:r>
        <w:rPr>
          <w:rFonts w:ascii="Arial" w:hAnsi="Arial" w:cs="Arial"/>
        </w:rPr>
        <w:t xml:space="preserve">national </w:t>
      </w:r>
      <w:r w:rsidRPr="00226118">
        <w:rPr>
          <w:rFonts w:ascii="Arial" w:hAnsi="Arial" w:cs="Arial"/>
        </w:rPr>
        <w:t>digital programmes and services being delivered over the coming years have been mapped across five pillars which align to ‘</w:t>
      </w:r>
      <w:r w:rsidRPr="00226118">
        <w:rPr>
          <w:rFonts w:ascii="Arial" w:hAnsi="Arial" w:cs="Arial"/>
          <w:iCs/>
        </w:rPr>
        <w:t>Next Steps on the Five Year Forward View’</w:t>
      </w:r>
      <w:r w:rsidRPr="00226118">
        <w:rPr>
          <w:rFonts w:ascii="Arial" w:hAnsi="Arial" w:cs="Arial"/>
        </w:rPr>
        <w:t xml:space="preserve">: empower the person; support the clinician; integrate services; manage the system effectively; create the future; </w:t>
      </w:r>
      <w:r w:rsidR="005A5E69">
        <w:rPr>
          <w:rFonts w:ascii="Arial" w:hAnsi="Arial" w:cs="Arial"/>
        </w:rPr>
        <w:t>supported by investment in</w:t>
      </w:r>
      <w:r w:rsidRPr="00226118">
        <w:rPr>
          <w:rFonts w:ascii="Arial" w:hAnsi="Arial" w:cs="Arial"/>
        </w:rPr>
        <w:t xml:space="preserve"> live services and infrastructure.</w:t>
      </w:r>
      <w:r>
        <w:rPr>
          <w:rFonts w:ascii="Arial" w:hAnsi="Arial" w:cs="Arial"/>
        </w:rPr>
        <w:t xml:space="preserve"> </w:t>
      </w:r>
    </w:p>
    <w:p w14:paraId="46D7C330" w14:textId="77777777" w:rsidR="008B4957" w:rsidRPr="008B4957" w:rsidRDefault="008B4957" w:rsidP="008B4957">
      <w:pPr>
        <w:pStyle w:val="ListParagraph"/>
        <w:rPr>
          <w:rFonts w:ascii="Arial" w:hAnsi="Arial" w:cs="Arial"/>
        </w:rPr>
      </w:pPr>
    </w:p>
    <w:p w14:paraId="0F893CED" w14:textId="03D9732E" w:rsidR="001A15EB" w:rsidRPr="008B4957" w:rsidRDefault="001A15EB" w:rsidP="008B4957">
      <w:pPr>
        <w:pStyle w:val="ListParagraph"/>
        <w:numPr>
          <w:ilvl w:val="1"/>
          <w:numId w:val="5"/>
        </w:numPr>
        <w:autoSpaceDE w:val="0"/>
        <w:autoSpaceDN w:val="0"/>
        <w:adjustRightInd w:val="0"/>
        <w:ind w:left="567" w:hanging="567"/>
        <w:rPr>
          <w:rFonts w:ascii="Arial" w:hAnsi="Arial" w:cs="Arial"/>
        </w:rPr>
      </w:pPr>
      <w:r w:rsidRPr="008B4957">
        <w:rPr>
          <w:rFonts w:ascii="Arial" w:hAnsi="Arial" w:cs="Arial"/>
        </w:rPr>
        <w:t>Against this national strategy we have already invested in</w:t>
      </w:r>
      <w:r w:rsidR="008B4957" w:rsidRPr="008B4957">
        <w:rPr>
          <w:rFonts w:ascii="Arial" w:hAnsi="Arial" w:cs="Arial"/>
        </w:rPr>
        <w:t>:</w:t>
      </w:r>
    </w:p>
    <w:p w14:paraId="6D0222E1" w14:textId="77777777" w:rsidR="001A15EB" w:rsidRDefault="001A15EB" w:rsidP="00765213">
      <w:pPr>
        <w:pStyle w:val="ListParagraph"/>
        <w:numPr>
          <w:ilvl w:val="0"/>
          <w:numId w:val="64"/>
        </w:numPr>
        <w:autoSpaceDE w:val="0"/>
        <w:autoSpaceDN w:val="0"/>
        <w:adjustRightInd w:val="0"/>
        <w:rPr>
          <w:rFonts w:ascii="Arial" w:hAnsi="Arial" w:cs="Arial"/>
        </w:rPr>
      </w:pPr>
      <w:r>
        <w:rPr>
          <w:rFonts w:ascii="Arial" w:hAnsi="Arial" w:cs="Arial"/>
        </w:rPr>
        <w:t>Empowering patients with public access wifi in every GP surgery, enhancing and opening up of NHS Choices as nhs.uk, creating the NHS apps library and investing in an NHS app to be launched this year and apps to support the Five Year Forward View priorities.</w:t>
      </w:r>
    </w:p>
    <w:p w14:paraId="06011325" w14:textId="77777777" w:rsidR="001A15EB" w:rsidRDefault="001A15EB" w:rsidP="00765213">
      <w:pPr>
        <w:pStyle w:val="ListParagraph"/>
        <w:numPr>
          <w:ilvl w:val="0"/>
          <w:numId w:val="64"/>
        </w:numPr>
        <w:autoSpaceDE w:val="0"/>
        <w:autoSpaceDN w:val="0"/>
        <w:adjustRightInd w:val="0"/>
        <w:rPr>
          <w:rFonts w:ascii="Arial" w:hAnsi="Arial" w:cs="Arial"/>
        </w:rPr>
      </w:pPr>
      <w:r>
        <w:rPr>
          <w:rFonts w:ascii="Arial" w:hAnsi="Arial" w:cs="Arial"/>
        </w:rPr>
        <w:t xml:space="preserve">Supporting clinicians with the Global Digital Exemplar and fast Follower Programmes and the commencement of work to upgrade GP systems – the GP Futures Programme. </w:t>
      </w:r>
    </w:p>
    <w:p w14:paraId="72481A3A" w14:textId="77777777" w:rsidR="001A15EB" w:rsidRDefault="001A15EB" w:rsidP="00765213">
      <w:pPr>
        <w:pStyle w:val="ListParagraph"/>
        <w:numPr>
          <w:ilvl w:val="0"/>
          <w:numId w:val="64"/>
        </w:numPr>
        <w:autoSpaceDE w:val="0"/>
        <w:autoSpaceDN w:val="0"/>
        <w:adjustRightInd w:val="0"/>
        <w:rPr>
          <w:rFonts w:ascii="Arial" w:hAnsi="Arial" w:cs="Arial"/>
        </w:rPr>
      </w:pPr>
      <w:r>
        <w:rPr>
          <w:rFonts w:ascii="Arial" w:hAnsi="Arial" w:cs="Arial"/>
        </w:rPr>
        <w:t>Integrating services to provide a shared clinical record across health and care through the Local Health and Care Record Exemplars.</w:t>
      </w:r>
    </w:p>
    <w:p w14:paraId="53230E38" w14:textId="03C1607C" w:rsidR="001A15EB" w:rsidRDefault="001A15EB" w:rsidP="00765213">
      <w:pPr>
        <w:pStyle w:val="ListParagraph"/>
        <w:numPr>
          <w:ilvl w:val="0"/>
          <w:numId w:val="64"/>
        </w:numPr>
        <w:autoSpaceDE w:val="0"/>
        <w:autoSpaceDN w:val="0"/>
        <w:adjustRightInd w:val="0"/>
        <w:rPr>
          <w:rFonts w:ascii="Arial" w:hAnsi="Arial" w:cs="Arial"/>
        </w:rPr>
      </w:pPr>
      <w:r>
        <w:rPr>
          <w:rFonts w:ascii="Arial" w:hAnsi="Arial" w:cs="Arial"/>
        </w:rPr>
        <w:t xml:space="preserve">Moving towards a </w:t>
      </w:r>
      <w:r w:rsidR="001A06AC">
        <w:rPr>
          <w:rFonts w:ascii="Arial" w:hAnsi="Arial" w:cs="Arial"/>
        </w:rPr>
        <w:t>‘</w:t>
      </w:r>
      <w:r>
        <w:rPr>
          <w:rFonts w:ascii="Arial" w:hAnsi="Arial" w:cs="Arial"/>
        </w:rPr>
        <w:t>single source of truth</w:t>
      </w:r>
      <w:r w:rsidR="001A06AC">
        <w:rPr>
          <w:rFonts w:ascii="Arial" w:hAnsi="Arial" w:cs="Arial"/>
        </w:rPr>
        <w:t>’</w:t>
      </w:r>
      <w:r>
        <w:rPr>
          <w:rFonts w:ascii="Arial" w:hAnsi="Arial" w:cs="Arial"/>
        </w:rPr>
        <w:t xml:space="preserve"> database and dashboards to improve consistency and lower cost of NHS management information.</w:t>
      </w:r>
    </w:p>
    <w:p w14:paraId="02E54A99" w14:textId="1C940B38" w:rsidR="001A15EB" w:rsidRDefault="008B4957" w:rsidP="00765213">
      <w:pPr>
        <w:pStyle w:val="ListParagraph"/>
        <w:numPr>
          <w:ilvl w:val="0"/>
          <w:numId w:val="64"/>
        </w:numPr>
        <w:autoSpaceDE w:val="0"/>
        <w:autoSpaceDN w:val="0"/>
        <w:adjustRightInd w:val="0"/>
        <w:rPr>
          <w:rFonts w:ascii="Arial" w:hAnsi="Arial" w:cs="Arial"/>
        </w:rPr>
      </w:pPr>
      <w:r>
        <w:rPr>
          <w:rFonts w:ascii="Arial" w:hAnsi="Arial" w:cs="Arial"/>
        </w:rPr>
        <w:t>Building the future with o</w:t>
      </w:r>
      <w:r w:rsidR="001A15EB">
        <w:rPr>
          <w:rFonts w:ascii="Arial" w:hAnsi="Arial" w:cs="Arial"/>
        </w:rPr>
        <w:t xml:space="preserve">ur work </w:t>
      </w:r>
      <w:r>
        <w:rPr>
          <w:rFonts w:ascii="Arial" w:hAnsi="Arial" w:cs="Arial"/>
        </w:rPr>
        <w:t xml:space="preserve">to </w:t>
      </w:r>
      <w:r w:rsidR="001A15EB">
        <w:rPr>
          <w:rFonts w:ascii="Arial" w:hAnsi="Arial" w:cs="Arial"/>
        </w:rPr>
        <w:t>integrate genomics, create safe, rapid innovation around predictive algorithms and AI and enable research through the Digital Innovation Hubs.</w:t>
      </w:r>
    </w:p>
    <w:p w14:paraId="4DC68E2A" w14:textId="77777777" w:rsidR="008B4957" w:rsidRDefault="008B4957" w:rsidP="008B4957">
      <w:pPr>
        <w:pStyle w:val="ListParagraph"/>
        <w:autoSpaceDE w:val="0"/>
        <w:autoSpaceDN w:val="0"/>
        <w:adjustRightInd w:val="0"/>
        <w:ind w:left="567"/>
        <w:rPr>
          <w:rFonts w:ascii="Arial" w:hAnsi="Arial" w:cs="Arial"/>
        </w:rPr>
      </w:pPr>
    </w:p>
    <w:p w14:paraId="01E666C7" w14:textId="5EDCAD3E" w:rsidR="001A3769" w:rsidRPr="008B4957" w:rsidRDefault="005A5E69" w:rsidP="008B4957">
      <w:pPr>
        <w:pStyle w:val="ListParagraph"/>
        <w:numPr>
          <w:ilvl w:val="1"/>
          <w:numId w:val="5"/>
        </w:numPr>
        <w:autoSpaceDE w:val="0"/>
        <w:autoSpaceDN w:val="0"/>
        <w:adjustRightInd w:val="0"/>
        <w:ind w:left="567" w:hanging="567"/>
        <w:rPr>
          <w:rFonts w:ascii="Arial" w:hAnsi="Arial" w:cs="Arial"/>
        </w:rPr>
      </w:pPr>
      <w:r w:rsidRPr="008B4957">
        <w:rPr>
          <w:rFonts w:ascii="Arial" w:hAnsi="Arial" w:cs="Arial"/>
        </w:rPr>
        <w:t xml:space="preserve">We are now in a position to announce the release of a further </w:t>
      </w:r>
      <w:r w:rsidR="001A3769" w:rsidRPr="008B4957">
        <w:rPr>
          <w:rFonts w:ascii="Arial" w:hAnsi="Arial" w:cs="Arial"/>
        </w:rPr>
        <w:t xml:space="preserve">£412.5m of funding is to be allocated </w:t>
      </w:r>
      <w:r w:rsidRPr="008B4957">
        <w:rPr>
          <w:rFonts w:ascii="Arial" w:hAnsi="Arial" w:cs="Arial"/>
        </w:rPr>
        <w:t xml:space="preserve">to the provider digitisation programme </w:t>
      </w:r>
      <w:r w:rsidR="001A3769" w:rsidRPr="008B4957">
        <w:rPr>
          <w:rFonts w:ascii="Arial" w:hAnsi="Arial" w:cs="Arial"/>
        </w:rPr>
        <w:t>over the next three years to invest in the digitisation of acute, ambulance, community and mental health provide</w:t>
      </w:r>
      <w:r w:rsidR="00B05A0F" w:rsidRPr="008B4957">
        <w:rPr>
          <w:rFonts w:ascii="Arial" w:hAnsi="Arial" w:cs="Arial"/>
        </w:rPr>
        <w:t>rs.</w:t>
      </w:r>
    </w:p>
    <w:p w14:paraId="7F019590" w14:textId="77777777" w:rsidR="005A5E69" w:rsidRPr="00765213" w:rsidRDefault="005A5E69" w:rsidP="008B4957">
      <w:pPr>
        <w:pStyle w:val="ListParagraph"/>
        <w:rPr>
          <w:rFonts w:ascii="Arial" w:hAnsi="Arial" w:cs="Arial"/>
        </w:rPr>
      </w:pPr>
    </w:p>
    <w:p w14:paraId="7AD3BB22" w14:textId="77777777" w:rsidR="005A5E69" w:rsidRDefault="005A5E69" w:rsidP="001A3769">
      <w:pPr>
        <w:pStyle w:val="ListParagraph"/>
        <w:numPr>
          <w:ilvl w:val="1"/>
          <w:numId w:val="5"/>
        </w:numPr>
        <w:autoSpaceDE w:val="0"/>
        <w:autoSpaceDN w:val="0"/>
        <w:adjustRightInd w:val="0"/>
        <w:ind w:left="567" w:hanging="567"/>
        <w:rPr>
          <w:rFonts w:ascii="Arial" w:hAnsi="Arial" w:cs="Arial"/>
        </w:rPr>
      </w:pPr>
      <w:r>
        <w:rPr>
          <w:rFonts w:ascii="Arial" w:hAnsi="Arial" w:cs="Arial"/>
        </w:rPr>
        <w:t xml:space="preserve">Having set the direction of travel with the Global Digital Exemplar and Fast Follower programmes and the framework for interoperability with the Local Health and Care Record Exemplars, we are seeking to encourage system-wide </w:t>
      </w:r>
      <w:r w:rsidR="001A15EB">
        <w:rPr>
          <w:rFonts w:ascii="Arial" w:hAnsi="Arial" w:cs="Arial"/>
        </w:rPr>
        <w:t>working</w:t>
      </w:r>
      <w:r w:rsidR="00F11128">
        <w:rPr>
          <w:rFonts w:ascii="Arial" w:hAnsi="Arial" w:cs="Arial"/>
        </w:rPr>
        <w:t xml:space="preserve"> around information and IT</w:t>
      </w:r>
      <w:r>
        <w:rPr>
          <w:rFonts w:ascii="Arial" w:hAnsi="Arial" w:cs="Arial"/>
        </w:rPr>
        <w:t xml:space="preserve"> by allocating this money to ICSs and STPs on a capitated basis</w:t>
      </w:r>
      <w:r w:rsidR="00F11128">
        <w:rPr>
          <w:rFonts w:ascii="Arial" w:hAnsi="Arial" w:cs="Arial"/>
        </w:rPr>
        <w:t>, to be locally allocated within the national priorities.</w:t>
      </w:r>
    </w:p>
    <w:p w14:paraId="27BF0801" w14:textId="77777777" w:rsidR="005A5E69" w:rsidRPr="00765213" w:rsidRDefault="005A5E69" w:rsidP="00765213">
      <w:pPr>
        <w:pStyle w:val="ListParagraph"/>
        <w:rPr>
          <w:rFonts w:ascii="Arial" w:hAnsi="Arial" w:cs="Arial"/>
        </w:rPr>
      </w:pPr>
    </w:p>
    <w:p w14:paraId="3EE99C7B" w14:textId="77777777" w:rsidR="00962933" w:rsidRPr="00932C88" w:rsidRDefault="00B119A0" w:rsidP="00F965DA">
      <w:pPr>
        <w:pStyle w:val="ListParagraph"/>
        <w:ind w:left="426"/>
        <w:rPr>
          <w:rFonts w:ascii="Arial" w:hAnsi="Arial" w:cs="Arial"/>
          <w:b/>
        </w:rPr>
      </w:pPr>
      <w:r w:rsidRPr="00932C88">
        <w:rPr>
          <w:rFonts w:ascii="Arial" w:hAnsi="Arial" w:cs="Arial"/>
          <w:b/>
        </w:rPr>
        <w:t>Provider d</w:t>
      </w:r>
      <w:r w:rsidR="00962933" w:rsidRPr="00932C88">
        <w:rPr>
          <w:rFonts w:ascii="Arial" w:hAnsi="Arial" w:cs="Arial"/>
          <w:b/>
        </w:rPr>
        <w:t>igitisation</w:t>
      </w:r>
    </w:p>
    <w:p w14:paraId="2324F80C" w14:textId="77777777" w:rsidR="002D5533" w:rsidRDefault="002D5533" w:rsidP="00107D82">
      <w:pPr>
        <w:pStyle w:val="ListParagraph"/>
        <w:autoSpaceDE w:val="0"/>
        <w:autoSpaceDN w:val="0"/>
        <w:adjustRightInd w:val="0"/>
        <w:ind w:left="567"/>
        <w:rPr>
          <w:rFonts w:ascii="Arial" w:hAnsi="Arial" w:cs="Arial"/>
        </w:rPr>
      </w:pPr>
    </w:p>
    <w:p w14:paraId="5C4CA446" w14:textId="71586B90" w:rsidR="00EA2914" w:rsidRPr="00A01CFB" w:rsidRDefault="002D5533" w:rsidP="008B4957">
      <w:pPr>
        <w:pStyle w:val="ListParagraph"/>
        <w:numPr>
          <w:ilvl w:val="1"/>
          <w:numId w:val="62"/>
        </w:numPr>
        <w:autoSpaceDE w:val="0"/>
        <w:autoSpaceDN w:val="0"/>
        <w:adjustRightInd w:val="0"/>
        <w:rPr>
          <w:rFonts w:ascii="Arial" w:hAnsi="Arial" w:cs="Arial"/>
        </w:rPr>
      </w:pPr>
      <w:r>
        <w:rPr>
          <w:rFonts w:ascii="Arial" w:hAnsi="Arial" w:cs="Arial"/>
        </w:rPr>
        <w:t xml:space="preserve">Provider digitisation will </w:t>
      </w:r>
      <w:r w:rsidR="00E13594" w:rsidRPr="00A01CFB">
        <w:rPr>
          <w:rFonts w:ascii="Arial" w:hAnsi="Arial" w:cs="Arial"/>
        </w:rPr>
        <w:t>see</w:t>
      </w:r>
      <w:r>
        <w:rPr>
          <w:rFonts w:ascii="Arial" w:hAnsi="Arial" w:cs="Arial"/>
        </w:rPr>
        <w:t xml:space="preserve"> </w:t>
      </w:r>
      <w:r w:rsidR="008B33C0" w:rsidRPr="00A01CFB">
        <w:rPr>
          <w:rFonts w:ascii="Arial" w:hAnsi="Arial" w:cs="Arial"/>
        </w:rPr>
        <w:t>patient information being recorded once, digitally, at</w:t>
      </w:r>
      <w:r w:rsidR="00F11128">
        <w:rPr>
          <w:rFonts w:ascii="Arial" w:hAnsi="Arial" w:cs="Arial"/>
        </w:rPr>
        <w:t>,</w:t>
      </w:r>
      <w:r w:rsidR="008B33C0" w:rsidRPr="00A01CFB">
        <w:rPr>
          <w:rFonts w:ascii="Arial" w:hAnsi="Arial" w:cs="Arial"/>
        </w:rPr>
        <w:t xml:space="preserve"> or close to</w:t>
      </w:r>
      <w:r w:rsidR="00F11128">
        <w:rPr>
          <w:rFonts w:ascii="Arial" w:hAnsi="Arial" w:cs="Arial"/>
        </w:rPr>
        <w:t>,</w:t>
      </w:r>
      <w:r w:rsidR="008B33C0" w:rsidRPr="00A01CFB">
        <w:rPr>
          <w:rFonts w:ascii="Arial" w:hAnsi="Arial" w:cs="Arial"/>
        </w:rPr>
        <w:t xml:space="preserve"> the point of care. Clinicians working will be alerted promptly to key patient events and changes in status, supported by knowledge management and decision support tools. Digital technology will support the improved management, administration and optimisation of medicines, increased availability of assets</w:t>
      </w:r>
      <w:r w:rsidR="00AA59EF">
        <w:rPr>
          <w:rFonts w:ascii="Arial" w:hAnsi="Arial" w:cs="Arial"/>
        </w:rPr>
        <w:t xml:space="preserve">, </w:t>
      </w:r>
      <w:r w:rsidR="008B33C0" w:rsidRPr="00A01CFB">
        <w:rPr>
          <w:rFonts w:ascii="Arial" w:hAnsi="Arial" w:cs="Arial"/>
        </w:rPr>
        <w:t>effective staff rostering</w:t>
      </w:r>
      <w:r w:rsidR="00AA59EF">
        <w:rPr>
          <w:rFonts w:ascii="Arial" w:hAnsi="Arial" w:cs="Arial"/>
        </w:rPr>
        <w:t xml:space="preserve"> and mobile working </w:t>
      </w:r>
      <w:r w:rsidR="00AD7425">
        <w:rPr>
          <w:rFonts w:ascii="Arial" w:hAnsi="Arial" w:cs="Arial"/>
        </w:rPr>
        <w:t>for</w:t>
      </w:r>
      <w:r w:rsidR="00AA59EF">
        <w:rPr>
          <w:rFonts w:ascii="Arial" w:hAnsi="Arial" w:cs="Arial"/>
        </w:rPr>
        <w:t xml:space="preserve"> community-based staff</w:t>
      </w:r>
      <w:r w:rsidR="008B33C0" w:rsidRPr="00A01CFB">
        <w:rPr>
          <w:rFonts w:ascii="Arial" w:hAnsi="Arial" w:cs="Arial"/>
        </w:rPr>
        <w:t xml:space="preserve">. </w:t>
      </w:r>
      <w:r w:rsidR="00EA2914" w:rsidRPr="00A01CFB">
        <w:rPr>
          <w:rFonts w:ascii="Arial" w:hAnsi="Arial" w:cs="Arial"/>
        </w:rPr>
        <w:t xml:space="preserve">Transfers, referrals, </w:t>
      </w:r>
      <w:r w:rsidR="007124BA">
        <w:rPr>
          <w:rFonts w:ascii="Arial" w:hAnsi="Arial" w:cs="Arial"/>
        </w:rPr>
        <w:t>observations, medications, pathology results, diagnostics, dates and schedules</w:t>
      </w:r>
      <w:r w:rsidR="00EA2914" w:rsidRPr="00A01CFB">
        <w:rPr>
          <w:rFonts w:ascii="Arial" w:hAnsi="Arial" w:cs="Arial"/>
        </w:rPr>
        <w:t xml:space="preserve">, orders, results, alerts, notices and clinical communications </w:t>
      </w:r>
      <w:r w:rsidR="00EA2914">
        <w:rPr>
          <w:rFonts w:ascii="Arial" w:hAnsi="Arial" w:cs="Arial"/>
        </w:rPr>
        <w:t>will be</w:t>
      </w:r>
      <w:r w:rsidR="00EA2914" w:rsidRPr="00A01CFB">
        <w:rPr>
          <w:rFonts w:ascii="Arial" w:hAnsi="Arial" w:cs="Arial"/>
        </w:rPr>
        <w:t xml:space="preserve"> passed digitally </w:t>
      </w:r>
      <w:r w:rsidR="007124BA">
        <w:rPr>
          <w:rFonts w:ascii="Arial" w:hAnsi="Arial" w:cs="Arial"/>
        </w:rPr>
        <w:t xml:space="preserve">based on common terminology </w:t>
      </w:r>
      <w:r w:rsidR="00193039">
        <w:rPr>
          <w:rFonts w:ascii="Arial" w:hAnsi="Arial" w:cs="Arial"/>
        </w:rPr>
        <w:t>from and to providers</w:t>
      </w:r>
      <w:r w:rsidR="00AA59EF">
        <w:rPr>
          <w:rFonts w:ascii="Arial" w:hAnsi="Arial" w:cs="Arial"/>
        </w:rPr>
        <w:t xml:space="preserve">, </w:t>
      </w:r>
      <w:r w:rsidR="00E63E66">
        <w:rPr>
          <w:rFonts w:ascii="Arial" w:hAnsi="Arial" w:cs="Arial"/>
        </w:rPr>
        <w:t xml:space="preserve">on a timely basis and </w:t>
      </w:r>
      <w:r w:rsidR="00AA59EF">
        <w:rPr>
          <w:rFonts w:ascii="Arial" w:hAnsi="Arial" w:cs="Arial"/>
        </w:rPr>
        <w:t>avoiding bureaucracy and duplication</w:t>
      </w:r>
      <w:r w:rsidR="00193039">
        <w:rPr>
          <w:rFonts w:ascii="Arial" w:hAnsi="Arial" w:cs="Arial"/>
        </w:rPr>
        <w:t>.</w:t>
      </w:r>
      <w:r w:rsidR="00EA2914" w:rsidRPr="00A01CFB">
        <w:rPr>
          <w:rFonts w:ascii="Arial" w:hAnsi="Arial" w:cs="Arial"/>
        </w:rPr>
        <w:t xml:space="preserve"> </w:t>
      </w:r>
      <w:r w:rsidR="006A2947">
        <w:rPr>
          <w:rFonts w:ascii="Arial" w:hAnsi="Arial" w:cs="Arial"/>
        </w:rPr>
        <w:t>Patient information recorded in one care setting will be available in other settings.</w:t>
      </w:r>
      <w:r w:rsidR="00D64A87">
        <w:rPr>
          <w:rFonts w:ascii="Arial" w:hAnsi="Arial" w:cs="Arial"/>
        </w:rPr>
        <w:t xml:space="preserve"> By delivering these capabilities, provider digitisation will have made a significant contribution to the challenges identified in the Five Year Forward View, and in particular, closing the finance and efficiency gap. </w:t>
      </w:r>
    </w:p>
    <w:p w14:paraId="0346E8F3" w14:textId="77777777" w:rsidR="008B33C0" w:rsidRPr="00A01CFB" w:rsidRDefault="008B33C0" w:rsidP="00A80788">
      <w:pPr>
        <w:pStyle w:val="ListParagraph"/>
        <w:autoSpaceDE w:val="0"/>
        <w:autoSpaceDN w:val="0"/>
        <w:adjustRightInd w:val="0"/>
        <w:ind w:left="567"/>
        <w:rPr>
          <w:rFonts w:ascii="Arial" w:hAnsi="Arial" w:cs="Arial"/>
        </w:rPr>
      </w:pPr>
    </w:p>
    <w:p w14:paraId="52636BBF" w14:textId="77777777" w:rsidR="00BF3CCF" w:rsidRDefault="00363D6D" w:rsidP="00B05A0F">
      <w:pPr>
        <w:pStyle w:val="ListParagraph"/>
        <w:numPr>
          <w:ilvl w:val="1"/>
          <w:numId w:val="62"/>
        </w:numPr>
        <w:autoSpaceDE w:val="0"/>
        <w:autoSpaceDN w:val="0"/>
        <w:adjustRightInd w:val="0"/>
        <w:ind w:left="567" w:hanging="567"/>
        <w:rPr>
          <w:rFonts w:ascii="Arial" w:hAnsi="Arial" w:cs="Arial"/>
        </w:rPr>
      </w:pPr>
      <w:r w:rsidRPr="00A01CFB">
        <w:rPr>
          <w:rFonts w:ascii="Arial" w:hAnsi="Arial" w:cs="Arial"/>
        </w:rPr>
        <w:t xml:space="preserve">Increasingly, </w:t>
      </w:r>
      <w:r w:rsidR="00BF3CCF">
        <w:rPr>
          <w:rFonts w:ascii="Arial" w:hAnsi="Arial" w:cs="Arial"/>
        </w:rPr>
        <w:t>provider digitisation</w:t>
      </w:r>
      <w:r w:rsidRPr="00A01CFB">
        <w:rPr>
          <w:rFonts w:ascii="Arial" w:hAnsi="Arial" w:cs="Arial"/>
        </w:rPr>
        <w:t xml:space="preserve"> will underpin new models of care. Information will flow seamlessly across organisational boundaries, supporting the delivery of coordinated, patient-centred care</w:t>
      </w:r>
      <w:r w:rsidR="00AA59EF">
        <w:rPr>
          <w:rFonts w:ascii="Arial" w:hAnsi="Arial" w:cs="Arial"/>
        </w:rPr>
        <w:t>, seven days a week</w:t>
      </w:r>
      <w:r w:rsidRPr="00A01CFB">
        <w:rPr>
          <w:rFonts w:ascii="Arial" w:hAnsi="Arial" w:cs="Arial"/>
        </w:rPr>
        <w:t>. Digital systems will guide clinicians along defined clinical pathways, standardising practice and minimising variation across provider chains</w:t>
      </w:r>
      <w:r w:rsidR="00190CD0">
        <w:rPr>
          <w:rFonts w:ascii="Arial" w:hAnsi="Arial" w:cs="Arial"/>
        </w:rPr>
        <w:t xml:space="preserve">, </w:t>
      </w:r>
      <w:r w:rsidR="00107D82">
        <w:rPr>
          <w:rFonts w:ascii="Arial" w:hAnsi="Arial" w:cs="Arial"/>
        </w:rPr>
        <w:t>I</w:t>
      </w:r>
      <w:r w:rsidR="00190CD0">
        <w:rPr>
          <w:rFonts w:ascii="Arial" w:hAnsi="Arial" w:cs="Arial"/>
        </w:rPr>
        <w:t xml:space="preserve">CS boundaries or </w:t>
      </w:r>
      <w:r w:rsidRPr="00A01CFB">
        <w:rPr>
          <w:rFonts w:ascii="Arial" w:hAnsi="Arial" w:cs="Arial"/>
        </w:rPr>
        <w:t xml:space="preserve">STP footprints. </w:t>
      </w:r>
      <w:r w:rsidR="00193039" w:rsidRPr="00A01CFB">
        <w:rPr>
          <w:rFonts w:ascii="Arial" w:hAnsi="Arial" w:cs="Arial"/>
        </w:rPr>
        <w:t xml:space="preserve">Mobile technologies will support delivery of care outside traditional settings and closer to home. </w:t>
      </w:r>
      <w:r w:rsidR="00D64A87">
        <w:rPr>
          <w:rFonts w:ascii="Arial" w:hAnsi="Arial" w:cs="Arial"/>
        </w:rPr>
        <w:t xml:space="preserve">In enabling these new care models, provider digitisation will make a significant contribution to the </w:t>
      </w:r>
      <w:r w:rsidR="000A761D">
        <w:rPr>
          <w:rFonts w:ascii="Arial" w:hAnsi="Arial" w:cs="Arial"/>
        </w:rPr>
        <w:t xml:space="preserve">challenges set out in the </w:t>
      </w:r>
      <w:r w:rsidR="00D64A87">
        <w:rPr>
          <w:rFonts w:ascii="Arial" w:hAnsi="Arial" w:cs="Arial"/>
        </w:rPr>
        <w:t>Five Year Forward View, and in particular, closing the care and quality gap.</w:t>
      </w:r>
    </w:p>
    <w:p w14:paraId="4B296471" w14:textId="77777777" w:rsidR="00BF3CCF" w:rsidRDefault="00BF3CCF" w:rsidP="00A80788">
      <w:pPr>
        <w:pStyle w:val="ListParagraph"/>
        <w:autoSpaceDE w:val="0"/>
        <w:autoSpaceDN w:val="0"/>
        <w:adjustRightInd w:val="0"/>
        <w:ind w:left="567"/>
        <w:rPr>
          <w:rFonts w:ascii="Arial" w:hAnsi="Arial" w:cs="Arial"/>
        </w:rPr>
      </w:pPr>
    </w:p>
    <w:p w14:paraId="0DFF1CAB" w14:textId="77777777" w:rsidR="00E900EA" w:rsidRPr="00A80788" w:rsidRDefault="00193039" w:rsidP="00B05A0F">
      <w:pPr>
        <w:pStyle w:val="ListParagraph"/>
        <w:numPr>
          <w:ilvl w:val="1"/>
          <w:numId w:val="62"/>
        </w:numPr>
        <w:autoSpaceDE w:val="0"/>
        <w:autoSpaceDN w:val="0"/>
        <w:adjustRightInd w:val="0"/>
        <w:ind w:left="567" w:hanging="567"/>
        <w:rPr>
          <w:rFonts w:ascii="Arial" w:hAnsi="Arial" w:cs="Arial"/>
        </w:rPr>
      </w:pPr>
      <w:r w:rsidRPr="00A01CFB">
        <w:rPr>
          <w:rFonts w:ascii="Arial" w:hAnsi="Arial" w:cs="Arial"/>
        </w:rPr>
        <w:t xml:space="preserve">The digitisation of providers will be a foundation for </w:t>
      </w:r>
      <w:r w:rsidR="006A2947" w:rsidRPr="00A01CFB">
        <w:rPr>
          <w:rFonts w:ascii="Arial" w:hAnsi="Arial" w:cs="Arial"/>
        </w:rPr>
        <w:t xml:space="preserve">further </w:t>
      </w:r>
      <w:r w:rsidR="000F7F18">
        <w:rPr>
          <w:rFonts w:ascii="Arial" w:hAnsi="Arial" w:cs="Arial"/>
        </w:rPr>
        <w:t>technology</w:t>
      </w:r>
      <w:r w:rsidR="00554637">
        <w:rPr>
          <w:rFonts w:ascii="Arial" w:hAnsi="Arial" w:cs="Arial"/>
        </w:rPr>
        <w:t>-</w:t>
      </w:r>
      <w:r w:rsidR="00BF3CCF" w:rsidRPr="00A01CFB">
        <w:rPr>
          <w:rFonts w:ascii="Arial" w:hAnsi="Arial" w:cs="Arial"/>
        </w:rPr>
        <w:t>led innovation in care models</w:t>
      </w:r>
      <w:r w:rsidR="006A2947" w:rsidRPr="00A01CFB">
        <w:rPr>
          <w:rFonts w:ascii="Arial" w:hAnsi="Arial" w:cs="Arial"/>
        </w:rPr>
        <w:t xml:space="preserve">. Digital data captured in a direct care context will be subject to </w:t>
      </w:r>
      <w:r w:rsidRPr="00A01CFB">
        <w:rPr>
          <w:rFonts w:ascii="Arial" w:hAnsi="Arial" w:cs="Arial"/>
        </w:rPr>
        <w:t>a</w:t>
      </w:r>
      <w:r w:rsidR="00363D6D" w:rsidRPr="00A01CFB">
        <w:rPr>
          <w:rFonts w:ascii="Arial" w:hAnsi="Arial" w:cs="Arial"/>
        </w:rPr>
        <w:t>dvanced analysis</w:t>
      </w:r>
      <w:r w:rsidR="00BF3CCF" w:rsidRPr="00A01CFB">
        <w:rPr>
          <w:rFonts w:ascii="Arial" w:hAnsi="Arial" w:cs="Arial"/>
        </w:rPr>
        <w:t>,</w:t>
      </w:r>
      <w:r w:rsidR="00363D6D" w:rsidRPr="00A01CFB">
        <w:rPr>
          <w:rFonts w:ascii="Arial" w:hAnsi="Arial" w:cs="Arial"/>
        </w:rPr>
        <w:t xml:space="preserve"> </w:t>
      </w:r>
      <w:r w:rsidRPr="00A01CFB">
        <w:rPr>
          <w:rFonts w:ascii="Arial" w:hAnsi="Arial" w:cs="Arial"/>
        </w:rPr>
        <w:t xml:space="preserve">enabling population health management and a shift from </w:t>
      </w:r>
      <w:r w:rsidR="00363D6D" w:rsidRPr="00A01CFB">
        <w:rPr>
          <w:rFonts w:ascii="Arial" w:hAnsi="Arial" w:cs="Arial"/>
        </w:rPr>
        <w:t>reactive to proactive care</w:t>
      </w:r>
      <w:r w:rsidR="006A2947" w:rsidRPr="00A01CFB">
        <w:rPr>
          <w:rFonts w:ascii="Arial" w:hAnsi="Arial" w:cs="Arial"/>
        </w:rPr>
        <w:t>, and</w:t>
      </w:r>
      <w:r w:rsidR="006A2947" w:rsidRPr="00A01CFB">
        <w:rPr>
          <w:rFonts w:ascii="Arial" w:eastAsiaTheme="minorHAnsi" w:hAnsi="Arial" w:cs="Arial"/>
          <w:sz w:val="22"/>
          <w:szCs w:val="22"/>
          <w:lang w:eastAsia="en-US"/>
        </w:rPr>
        <w:t xml:space="preserve"> </w:t>
      </w:r>
      <w:r w:rsidR="00BF3CCF" w:rsidRPr="00A01CFB">
        <w:rPr>
          <w:rFonts w:ascii="Arial" w:eastAsiaTheme="minorHAnsi" w:hAnsi="Arial" w:cs="Arial"/>
          <w:sz w:val="22"/>
          <w:szCs w:val="22"/>
          <w:lang w:eastAsia="en-US"/>
        </w:rPr>
        <w:t xml:space="preserve">will </w:t>
      </w:r>
      <w:r w:rsidR="006A2947" w:rsidRPr="00A80788">
        <w:rPr>
          <w:rFonts w:ascii="Arial" w:eastAsiaTheme="minorHAnsi" w:hAnsi="Arial" w:cs="Arial"/>
          <w:szCs w:val="22"/>
          <w:lang w:eastAsia="en-US"/>
        </w:rPr>
        <w:t xml:space="preserve">support </w:t>
      </w:r>
      <w:r w:rsidR="006A2947" w:rsidRPr="00A01CFB">
        <w:rPr>
          <w:rFonts w:ascii="Arial" w:hAnsi="Arial" w:cs="Arial"/>
        </w:rPr>
        <w:t>the development of bespoke treatments and medicines at the level of an individual</w:t>
      </w:r>
      <w:r w:rsidR="00BF3CCF" w:rsidRPr="00A01CFB">
        <w:rPr>
          <w:rFonts w:ascii="Arial" w:hAnsi="Arial" w:cs="Arial"/>
        </w:rPr>
        <w:t>.</w:t>
      </w:r>
      <w:r w:rsidR="006A2947" w:rsidRPr="00A01CFB">
        <w:rPr>
          <w:rFonts w:ascii="Arial" w:hAnsi="Arial" w:cs="Arial"/>
        </w:rPr>
        <w:t xml:space="preserve"> </w:t>
      </w:r>
      <w:r w:rsidR="00E900EA" w:rsidRPr="00A01CFB">
        <w:rPr>
          <w:rFonts w:ascii="Arial" w:hAnsi="Arial" w:cs="Arial"/>
        </w:rPr>
        <w:t>Opening up the digital record to allow patients to view, understand and contribute will increase patient activation</w:t>
      </w:r>
      <w:r w:rsidR="00E900EA">
        <w:rPr>
          <w:rFonts w:ascii="Arial" w:hAnsi="Arial" w:cs="Arial"/>
        </w:rPr>
        <w:t xml:space="preserve">. This in turn </w:t>
      </w:r>
      <w:r w:rsidR="00E900EA" w:rsidRPr="00A01CFB">
        <w:rPr>
          <w:rFonts w:ascii="Arial" w:hAnsi="Arial" w:cs="Arial"/>
        </w:rPr>
        <w:t xml:space="preserve">will be leveraged in patients utilising digital tools and applications </w:t>
      </w:r>
      <w:r w:rsidR="00E900EA">
        <w:rPr>
          <w:rFonts w:ascii="Arial" w:hAnsi="Arial" w:cs="Arial"/>
        </w:rPr>
        <w:t xml:space="preserve">for </w:t>
      </w:r>
      <w:r w:rsidR="00E900EA" w:rsidRPr="00A01CFB">
        <w:rPr>
          <w:rFonts w:ascii="Arial" w:hAnsi="Arial" w:cs="Arial"/>
        </w:rPr>
        <w:t>care planning and shared decision making</w:t>
      </w:r>
      <w:r w:rsidR="00E900EA">
        <w:rPr>
          <w:rFonts w:ascii="Arial" w:hAnsi="Arial" w:cs="Arial"/>
        </w:rPr>
        <w:t xml:space="preserve">, </w:t>
      </w:r>
      <w:r w:rsidR="00E900EA" w:rsidRPr="00A01CFB">
        <w:rPr>
          <w:rFonts w:ascii="Arial" w:hAnsi="Arial" w:cs="Arial"/>
        </w:rPr>
        <w:t>education and access to resources</w:t>
      </w:r>
      <w:r w:rsidR="00E900EA">
        <w:rPr>
          <w:rFonts w:ascii="Arial" w:hAnsi="Arial" w:cs="Arial"/>
        </w:rPr>
        <w:t xml:space="preserve">, </w:t>
      </w:r>
      <w:r w:rsidR="00E900EA" w:rsidRPr="00A01CFB">
        <w:rPr>
          <w:rFonts w:ascii="Arial" w:hAnsi="Arial" w:cs="Arial"/>
        </w:rPr>
        <w:t>monitoring and feed</w:t>
      </w:r>
      <w:r w:rsidR="00E900EA">
        <w:rPr>
          <w:rFonts w:ascii="Arial" w:hAnsi="Arial" w:cs="Arial"/>
        </w:rPr>
        <w:t xml:space="preserve">ing </w:t>
      </w:r>
      <w:r w:rsidR="00E900EA" w:rsidRPr="00A01CFB">
        <w:rPr>
          <w:rFonts w:ascii="Arial" w:hAnsi="Arial" w:cs="Arial"/>
        </w:rPr>
        <w:t xml:space="preserve">back on </w:t>
      </w:r>
      <w:r w:rsidR="00E900EA">
        <w:rPr>
          <w:rFonts w:ascii="Arial" w:hAnsi="Arial" w:cs="Arial"/>
        </w:rPr>
        <w:t xml:space="preserve">their </w:t>
      </w:r>
      <w:r w:rsidR="00E900EA" w:rsidRPr="00A01CFB">
        <w:rPr>
          <w:rFonts w:ascii="Arial" w:hAnsi="Arial" w:cs="Arial"/>
        </w:rPr>
        <w:t>health and wellbeing</w:t>
      </w:r>
      <w:r w:rsidR="00E63E66">
        <w:rPr>
          <w:rFonts w:ascii="Arial" w:hAnsi="Arial" w:cs="Arial"/>
        </w:rPr>
        <w:t xml:space="preserve">, </w:t>
      </w:r>
      <w:r w:rsidR="00E900EA" w:rsidRPr="00A01CFB">
        <w:rPr>
          <w:rFonts w:ascii="Arial" w:hAnsi="Arial" w:cs="Arial"/>
        </w:rPr>
        <w:t>and administ</w:t>
      </w:r>
      <w:r w:rsidR="00E900EA">
        <w:rPr>
          <w:rFonts w:ascii="Arial" w:hAnsi="Arial" w:cs="Arial"/>
        </w:rPr>
        <w:t xml:space="preserve">ering their </w:t>
      </w:r>
      <w:r w:rsidR="00E900EA" w:rsidRPr="00A01CFB">
        <w:rPr>
          <w:rFonts w:ascii="Arial" w:hAnsi="Arial" w:cs="Arial"/>
        </w:rPr>
        <w:t>personal budgets</w:t>
      </w:r>
      <w:r w:rsidR="00D64A87">
        <w:rPr>
          <w:rFonts w:ascii="Arial" w:hAnsi="Arial" w:cs="Arial"/>
        </w:rPr>
        <w:t>. In so doing, digital technology will make a significant contribution to the Five Year Forward View challenges, and in particular, closing the health and wellbeing gap.</w:t>
      </w:r>
      <w:r w:rsidR="00E900EA" w:rsidRPr="00A01CFB">
        <w:rPr>
          <w:rFonts w:ascii="Arial" w:hAnsi="Arial" w:cs="Arial"/>
        </w:rPr>
        <w:t xml:space="preserve"> </w:t>
      </w:r>
    </w:p>
    <w:p w14:paraId="359BA125" w14:textId="2C9F2142" w:rsidR="00EC5C4E" w:rsidRDefault="00EC5C4E" w:rsidP="006966E8">
      <w:pPr>
        <w:spacing w:after="0"/>
        <w:rPr>
          <w:rFonts w:ascii="Arial" w:eastAsia="Times New Roman" w:hAnsi="Arial" w:cs="Arial"/>
          <w:b/>
          <w:sz w:val="28"/>
          <w:szCs w:val="24"/>
          <w:lang w:eastAsia="en-GB"/>
        </w:rPr>
      </w:pPr>
    </w:p>
    <w:p w14:paraId="62BF5237" w14:textId="6A1EAB39" w:rsidR="00E3442B" w:rsidRPr="00932C88" w:rsidRDefault="00E3442B" w:rsidP="00E3442B">
      <w:pPr>
        <w:pStyle w:val="ListParagraph"/>
        <w:ind w:left="426"/>
        <w:rPr>
          <w:rFonts w:ascii="Arial" w:hAnsi="Arial" w:cs="Arial"/>
          <w:b/>
        </w:rPr>
      </w:pPr>
      <w:r w:rsidRPr="00932C88">
        <w:rPr>
          <w:rFonts w:ascii="Arial" w:hAnsi="Arial" w:cs="Arial"/>
          <w:b/>
        </w:rPr>
        <w:t>Digital maturity</w:t>
      </w:r>
    </w:p>
    <w:p w14:paraId="60C1FB71" w14:textId="77777777" w:rsidR="00E3442B" w:rsidRDefault="00E3442B" w:rsidP="00000C30">
      <w:pPr>
        <w:pStyle w:val="ListParagraph"/>
        <w:autoSpaceDE w:val="0"/>
        <w:autoSpaceDN w:val="0"/>
        <w:adjustRightInd w:val="0"/>
        <w:ind w:left="567"/>
        <w:rPr>
          <w:rFonts w:ascii="Arial" w:hAnsi="Arial" w:cs="Arial"/>
        </w:rPr>
      </w:pPr>
    </w:p>
    <w:p w14:paraId="0CD81ABC" w14:textId="3BC7A530" w:rsidR="00DE7EA7" w:rsidRDefault="00DE7EA7" w:rsidP="00B05A0F">
      <w:pPr>
        <w:pStyle w:val="ListParagraph"/>
        <w:numPr>
          <w:ilvl w:val="1"/>
          <w:numId w:val="62"/>
        </w:numPr>
        <w:autoSpaceDE w:val="0"/>
        <w:autoSpaceDN w:val="0"/>
        <w:adjustRightInd w:val="0"/>
        <w:rPr>
          <w:rFonts w:ascii="Arial" w:hAnsi="Arial" w:cs="Arial"/>
        </w:rPr>
      </w:pPr>
      <w:r w:rsidRPr="00DE7EA7">
        <w:rPr>
          <w:rFonts w:ascii="Arial" w:hAnsi="Arial" w:cs="Arial"/>
        </w:rPr>
        <w:t>Between September and December 2017, all secondary care providers completed the second round of the Digital Maturity Self-Assessment (DMA). Results were shared with individual providers in February 2018 and can be</w:t>
      </w:r>
      <w:r>
        <w:rPr>
          <w:rFonts w:ascii="Arial" w:hAnsi="Arial" w:cs="Arial"/>
        </w:rPr>
        <w:t xml:space="preserve"> </w:t>
      </w:r>
      <w:r w:rsidR="0038275B">
        <w:rPr>
          <w:rFonts w:ascii="Arial" w:hAnsi="Arial" w:cs="Arial"/>
        </w:rPr>
        <w:t>made available to STP/ICSs via the DMA website on request.</w:t>
      </w:r>
    </w:p>
    <w:p w14:paraId="59865B5D" w14:textId="77777777" w:rsidR="00DE7EA7" w:rsidRDefault="00DE7EA7" w:rsidP="00DE7EA7">
      <w:pPr>
        <w:pStyle w:val="ListParagraph"/>
        <w:autoSpaceDE w:val="0"/>
        <w:autoSpaceDN w:val="0"/>
        <w:adjustRightInd w:val="0"/>
        <w:ind w:left="576"/>
        <w:rPr>
          <w:rFonts w:ascii="Arial" w:hAnsi="Arial" w:cs="Arial"/>
        </w:rPr>
      </w:pPr>
    </w:p>
    <w:p w14:paraId="126BDA0D" w14:textId="77777777" w:rsidR="00AC3D17" w:rsidRDefault="00DE7EA7" w:rsidP="00B05A0F">
      <w:pPr>
        <w:pStyle w:val="ListParagraph"/>
        <w:numPr>
          <w:ilvl w:val="1"/>
          <w:numId w:val="62"/>
        </w:numPr>
        <w:autoSpaceDE w:val="0"/>
        <w:autoSpaceDN w:val="0"/>
        <w:adjustRightInd w:val="0"/>
        <w:rPr>
          <w:rFonts w:ascii="Arial" w:hAnsi="Arial" w:cs="Arial"/>
        </w:rPr>
      </w:pPr>
      <w:r w:rsidRPr="00DE7EA7">
        <w:rPr>
          <w:rFonts w:ascii="Arial" w:hAnsi="Arial" w:cs="Arial"/>
        </w:rPr>
        <w:lastRenderedPageBreak/>
        <w:t xml:space="preserve">The results show that local investment over the last two years has delivered some increase to overall levels of digitisation, but that there are still significant gaps which this funding can help address. </w:t>
      </w:r>
    </w:p>
    <w:p w14:paraId="4E98E157" w14:textId="77777777" w:rsidR="00AC3D17" w:rsidRPr="00AC3D17" w:rsidRDefault="00AC3D17" w:rsidP="00AC3D17">
      <w:pPr>
        <w:pStyle w:val="ListParagraph"/>
        <w:rPr>
          <w:rFonts w:ascii="Arial" w:hAnsi="Arial" w:cs="Arial"/>
        </w:rPr>
      </w:pPr>
    </w:p>
    <w:p w14:paraId="5A099E6C" w14:textId="6FCB9AE5" w:rsidR="00DE7EA7" w:rsidRPr="00AC3D17" w:rsidRDefault="00DE7EA7" w:rsidP="00B05A0F">
      <w:pPr>
        <w:pStyle w:val="ListParagraph"/>
        <w:numPr>
          <w:ilvl w:val="1"/>
          <w:numId w:val="62"/>
        </w:numPr>
        <w:autoSpaceDE w:val="0"/>
        <w:autoSpaceDN w:val="0"/>
        <w:adjustRightInd w:val="0"/>
        <w:rPr>
          <w:rFonts w:ascii="Arial" w:hAnsi="Arial" w:cs="Arial"/>
        </w:rPr>
      </w:pPr>
      <w:r w:rsidRPr="00AC3D17">
        <w:rPr>
          <w:rFonts w:ascii="Arial" w:hAnsi="Arial" w:cs="Arial"/>
        </w:rPr>
        <w:t>It also highlights a number of common characteristics across those organisations that have made greatest progress to date. In all cases, this included strong leadership from the top of the organisation (clinical and non-clinical), regular engagement with staff at all levels and investment in the underlying IT infrastructure required to deliver high-quality, reliable digital services.</w:t>
      </w:r>
      <w:r w:rsidR="00AC3D17" w:rsidRPr="00AC3D17">
        <w:rPr>
          <w:rFonts w:ascii="Arial" w:hAnsi="Arial" w:cs="Arial"/>
        </w:rPr>
        <w:t xml:space="preserve"> </w:t>
      </w:r>
      <w:r w:rsidRPr="00AC3D17">
        <w:rPr>
          <w:rFonts w:ascii="Arial" w:hAnsi="Arial" w:cs="Arial"/>
        </w:rPr>
        <w:t xml:space="preserve">From a functional perspective, these organisations had also consistently made significant progress implementing digital systems to support effective observations </w:t>
      </w:r>
      <w:r w:rsidR="00AC3D17" w:rsidRPr="00AC3D17">
        <w:rPr>
          <w:rFonts w:ascii="Arial" w:hAnsi="Arial" w:cs="Arial"/>
        </w:rPr>
        <w:t>and</w:t>
      </w:r>
      <w:r w:rsidRPr="00AC3D17">
        <w:rPr>
          <w:rFonts w:ascii="Arial" w:hAnsi="Arial" w:cs="Arial"/>
        </w:rPr>
        <w:t xml:space="preserve"> vital signs monitoring, medicines prescribing </w:t>
      </w:r>
      <w:r w:rsidR="00AC3D17" w:rsidRPr="00AC3D17">
        <w:rPr>
          <w:rFonts w:ascii="Arial" w:hAnsi="Arial" w:cs="Arial"/>
        </w:rPr>
        <w:t>and</w:t>
      </w:r>
      <w:r w:rsidRPr="00AC3D17">
        <w:rPr>
          <w:rFonts w:ascii="Arial" w:hAnsi="Arial" w:cs="Arial"/>
        </w:rPr>
        <w:t xml:space="preserve"> administration, bed management </w:t>
      </w:r>
      <w:r w:rsidR="00AC3D17" w:rsidRPr="00AC3D17">
        <w:rPr>
          <w:rFonts w:ascii="Arial" w:hAnsi="Arial" w:cs="Arial"/>
        </w:rPr>
        <w:t>and</w:t>
      </w:r>
      <w:r w:rsidRPr="00AC3D17">
        <w:rPr>
          <w:rFonts w:ascii="Arial" w:hAnsi="Arial" w:cs="Arial"/>
        </w:rPr>
        <w:t xml:space="preserve"> patient flow, and order communications. In most cases staff also had easy access to these via a single log-on or interface.  </w:t>
      </w:r>
    </w:p>
    <w:p w14:paraId="3E0F6A94" w14:textId="77777777" w:rsidR="00DE7EA7" w:rsidRDefault="00DE7EA7" w:rsidP="00DE7EA7">
      <w:pPr>
        <w:pStyle w:val="ListParagraph"/>
        <w:autoSpaceDE w:val="0"/>
        <w:autoSpaceDN w:val="0"/>
        <w:adjustRightInd w:val="0"/>
        <w:ind w:left="576"/>
        <w:rPr>
          <w:rFonts w:ascii="Arial" w:hAnsi="Arial" w:cs="Arial"/>
        </w:rPr>
      </w:pPr>
    </w:p>
    <w:p w14:paraId="70788555" w14:textId="77777777" w:rsidR="00E3442B" w:rsidRPr="00932C88" w:rsidRDefault="0095252F" w:rsidP="00E3442B">
      <w:pPr>
        <w:pStyle w:val="ListParagraph"/>
        <w:ind w:left="426"/>
        <w:rPr>
          <w:rFonts w:ascii="Arial" w:hAnsi="Arial" w:cs="Arial"/>
          <w:b/>
        </w:rPr>
      </w:pPr>
      <w:r w:rsidRPr="00932C88">
        <w:rPr>
          <w:rFonts w:ascii="Arial" w:hAnsi="Arial" w:cs="Arial"/>
          <w:b/>
        </w:rPr>
        <w:t>Initiatives supporting provider digitisation</w:t>
      </w:r>
    </w:p>
    <w:p w14:paraId="5A9FF85A" w14:textId="77777777" w:rsidR="00E3442B" w:rsidRDefault="00E3442B" w:rsidP="00000C30">
      <w:pPr>
        <w:pStyle w:val="ListParagraph"/>
        <w:autoSpaceDE w:val="0"/>
        <w:autoSpaceDN w:val="0"/>
        <w:adjustRightInd w:val="0"/>
        <w:ind w:left="567"/>
        <w:rPr>
          <w:rFonts w:ascii="Arial" w:hAnsi="Arial" w:cs="Arial"/>
        </w:rPr>
      </w:pPr>
    </w:p>
    <w:p w14:paraId="460772E1" w14:textId="71022CB0" w:rsidR="0095252F" w:rsidRPr="0095252F" w:rsidRDefault="0095252F" w:rsidP="00B05A0F">
      <w:pPr>
        <w:pStyle w:val="ListParagraph"/>
        <w:numPr>
          <w:ilvl w:val="1"/>
          <w:numId w:val="62"/>
        </w:numPr>
        <w:autoSpaceDE w:val="0"/>
        <w:autoSpaceDN w:val="0"/>
        <w:adjustRightInd w:val="0"/>
        <w:ind w:left="567" w:hanging="567"/>
        <w:rPr>
          <w:rFonts w:ascii="Arial" w:hAnsi="Arial" w:cs="Arial"/>
        </w:rPr>
      </w:pPr>
      <w:r w:rsidRPr="0095252F">
        <w:rPr>
          <w:rFonts w:ascii="Arial" w:hAnsi="Arial" w:cs="Arial"/>
        </w:rPr>
        <w:t>16 acute and 7 mental health trusts are being supported to become Global Digital Exemplars</w:t>
      </w:r>
      <w:r w:rsidR="000734E2">
        <w:rPr>
          <w:rFonts w:ascii="Arial" w:hAnsi="Arial" w:cs="Arial"/>
        </w:rPr>
        <w:t xml:space="preserve"> (GDEs)</w:t>
      </w:r>
      <w:r w:rsidRPr="0095252F">
        <w:rPr>
          <w:rFonts w:ascii="Arial" w:hAnsi="Arial" w:cs="Arial"/>
        </w:rPr>
        <w:t xml:space="preserve">. Each of these organisations are also supporting the accelerated and cost-effective advancement of digital maturity in other organisations through supporting ‘Fast Follower’ organisations and developing blueprints. </w:t>
      </w:r>
      <w:r w:rsidR="00CB47D0">
        <w:rPr>
          <w:rFonts w:ascii="Arial" w:hAnsi="Arial" w:cs="Arial"/>
        </w:rPr>
        <w:t>Three</w:t>
      </w:r>
      <w:r w:rsidRPr="0095252F">
        <w:rPr>
          <w:rFonts w:ascii="Arial" w:hAnsi="Arial" w:cs="Arial"/>
        </w:rPr>
        <w:t xml:space="preserve"> ambulance trusts are also participating in the programme. A business case for the expansion of the GDE programme is under development.</w:t>
      </w:r>
    </w:p>
    <w:p w14:paraId="26CF07F1" w14:textId="77777777" w:rsidR="0095252F" w:rsidRPr="0095252F" w:rsidRDefault="0095252F" w:rsidP="0095252F">
      <w:pPr>
        <w:pStyle w:val="ListParagraph"/>
        <w:rPr>
          <w:rFonts w:ascii="Arial" w:hAnsi="Arial" w:cs="Arial"/>
        </w:rPr>
      </w:pPr>
    </w:p>
    <w:p w14:paraId="6F707919" w14:textId="1A4B7BA4" w:rsidR="0095252F" w:rsidRDefault="00EC3F2F" w:rsidP="00B05A0F">
      <w:pPr>
        <w:pStyle w:val="ListParagraph"/>
        <w:numPr>
          <w:ilvl w:val="1"/>
          <w:numId w:val="62"/>
        </w:numPr>
        <w:autoSpaceDE w:val="0"/>
        <w:autoSpaceDN w:val="0"/>
        <w:adjustRightInd w:val="0"/>
        <w:ind w:left="567" w:hanging="567"/>
        <w:rPr>
          <w:rFonts w:ascii="Arial" w:hAnsi="Arial" w:cs="Arial"/>
        </w:rPr>
      </w:pPr>
      <w:r>
        <w:rPr>
          <w:rFonts w:ascii="Arial" w:hAnsi="Arial" w:cs="Arial"/>
        </w:rPr>
        <w:t xml:space="preserve">5 areas have been identified to participate in the </w:t>
      </w:r>
      <w:r w:rsidR="000734E2">
        <w:rPr>
          <w:rFonts w:ascii="Arial" w:hAnsi="Arial" w:cs="Arial"/>
        </w:rPr>
        <w:t xml:space="preserve">Local Health and Care Record Exemplar (LHCRE) programme. Together, these areas cover over 40% of the population of England, with each area made up of one or multiple STPs. Each area will receive funding to put in place </w:t>
      </w:r>
      <w:r w:rsidR="007124BA" w:rsidRPr="007124BA">
        <w:rPr>
          <w:rFonts w:ascii="Arial" w:hAnsi="Arial" w:cs="Arial"/>
        </w:rPr>
        <w:t>a normalised longitudinal care record to enable the delivery of joined up care (direct care)</w:t>
      </w:r>
      <w:r w:rsidR="00151075">
        <w:rPr>
          <w:rFonts w:ascii="Arial" w:hAnsi="Arial" w:cs="Arial"/>
        </w:rPr>
        <w:t xml:space="preserve"> and</w:t>
      </w:r>
      <w:r w:rsidR="007124BA" w:rsidRPr="007124BA">
        <w:rPr>
          <w:rFonts w:ascii="Arial" w:hAnsi="Arial" w:cs="Arial"/>
        </w:rPr>
        <w:t xml:space="preserve"> citizen access and contribution to their record. This support for direct care and also population health management being a key enabler of Integrated Care Systems.</w:t>
      </w:r>
      <w:r w:rsidR="004E2415">
        <w:rPr>
          <w:rFonts w:ascii="Arial" w:hAnsi="Arial" w:cs="Arial"/>
        </w:rPr>
        <w:t xml:space="preserve"> A business case for the expansion of the LHCRE programme is under development.</w:t>
      </w:r>
    </w:p>
    <w:p w14:paraId="48E29809" w14:textId="77777777" w:rsidR="0095252F" w:rsidRPr="0095252F" w:rsidRDefault="0095252F" w:rsidP="0095252F">
      <w:pPr>
        <w:pStyle w:val="ListParagraph"/>
        <w:rPr>
          <w:rFonts w:ascii="Arial" w:hAnsi="Arial" w:cs="Arial"/>
        </w:rPr>
      </w:pPr>
    </w:p>
    <w:p w14:paraId="37EF7719" w14:textId="7860B360" w:rsidR="0095252F" w:rsidRDefault="00F01AC3" w:rsidP="00B05A0F">
      <w:pPr>
        <w:pStyle w:val="ListParagraph"/>
        <w:numPr>
          <w:ilvl w:val="1"/>
          <w:numId w:val="62"/>
        </w:numPr>
        <w:autoSpaceDE w:val="0"/>
        <w:autoSpaceDN w:val="0"/>
        <w:adjustRightInd w:val="0"/>
        <w:ind w:left="567" w:hanging="567"/>
        <w:rPr>
          <w:rFonts w:ascii="Arial" w:hAnsi="Arial" w:cs="Arial"/>
        </w:rPr>
      </w:pPr>
      <w:r w:rsidRPr="00F01AC3">
        <w:rPr>
          <w:rFonts w:ascii="Arial" w:hAnsi="Arial" w:cs="Arial"/>
          <w:lang w:val="en"/>
        </w:rPr>
        <w:t xml:space="preserve">Lord Carter's </w:t>
      </w:r>
      <w:r>
        <w:rPr>
          <w:rFonts w:ascii="Arial" w:hAnsi="Arial" w:cs="Arial"/>
          <w:lang w:val="en"/>
        </w:rPr>
        <w:t xml:space="preserve">recent </w:t>
      </w:r>
      <w:r w:rsidRPr="00F01AC3">
        <w:rPr>
          <w:rFonts w:ascii="Arial" w:hAnsi="Arial" w:cs="Arial"/>
          <w:lang w:val="en"/>
        </w:rPr>
        <w:t>review of efficiency in hospitals suggest</w:t>
      </w:r>
      <w:r>
        <w:rPr>
          <w:rFonts w:ascii="Arial" w:hAnsi="Arial" w:cs="Arial"/>
          <w:lang w:val="en"/>
        </w:rPr>
        <w:t>ed</w:t>
      </w:r>
      <w:r w:rsidRPr="00F01AC3">
        <w:rPr>
          <w:rFonts w:ascii="Arial" w:hAnsi="Arial" w:cs="Arial"/>
          <w:lang w:val="en"/>
        </w:rPr>
        <w:t xml:space="preserve"> how large savings can be made by the NHS. In recognition of the role of digital technology in enabling efficiency savings</w:t>
      </w:r>
      <w:r>
        <w:rPr>
          <w:rFonts w:ascii="Arial" w:hAnsi="Arial" w:cs="Arial"/>
          <w:lang w:val="en"/>
        </w:rPr>
        <w:t>,</w:t>
      </w:r>
      <w:r w:rsidRPr="00F01AC3">
        <w:rPr>
          <w:rFonts w:ascii="Arial" w:hAnsi="Arial" w:cs="Arial"/>
          <w:lang w:val="en"/>
        </w:rPr>
        <w:t xml:space="preserve"> funds</w:t>
      </w:r>
      <w:r w:rsidR="00F11128">
        <w:rPr>
          <w:rFonts w:ascii="Arial" w:hAnsi="Arial" w:cs="Arial"/>
          <w:lang w:val="en"/>
        </w:rPr>
        <w:t xml:space="preserve"> have been secured</w:t>
      </w:r>
      <w:r w:rsidRPr="00F01AC3">
        <w:rPr>
          <w:rFonts w:ascii="Arial" w:hAnsi="Arial" w:cs="Arial"/>
          <w:lang w:val="en"/>
        </w:rPr>
        <w:t xml:space="preserve"> for targeted investment in key digital capabilities. </w:t>
      </w:r>
      <w:r w:rsidRPr="00F01AC3">
        <w:rPr>
          <w:rFonts w:ascii="Arial" w:hAnsi="Arial" w:cs="Arial"/>
        </w:rPr>
        <w:t>In February 2018</w:t>
      </w:r>
      <w:r>
        <w:rPr>
          <w:rFonts w:ascii="Arial" w:hAnsi="Arial" w:cs="Arial"/>
        </w:rPr>
        <w:t>,</w:t>
      </w:r>
      <w:r w:rsidRPr="00F01AC3">
        <w:rPr>
          <w:rFonts w:ascii="Arial" w:hAnsi="Arial" w:cs="Arial"/>
        </w:rPr>
        <w:t xml:space="preserve"> the Secretary of State announced that £75m would be made available for provider trusts</w:t>
      </w:r>
      <w:r>
        <w:rPr>
          <w:rFonts w:ascii="Arial" w:hAnsi="Arial" w:cs="Arial"/>
        </w:rPr>
        <w:t xml:space="preserve"> over </w:t>
      </w:r>
      <w:r w:rsidR="002D7D65">
        <w:rPr>
          <w:rFonts w:ascii="Arial" w:hAnsi="Arial" w:cs="Arial"/>
        </w:rPr>
        <w:t>20</w:t>
      </w:r>
      <w:r>
        <w:rPr>
          <w:rFonts w:ascii="Arial" w:hAnsi="Arial" w:cs="Arial"/>
        </w:rPr>
        <w:t xml:space="preserve">18/19 to </w:t>
      </w:r>
      <w:r w:rsidR="002D7D65">
        <w:rPr>
          <w:rFonts w:ascii="Arial" w:hAnsi="Arial" w:cs="Arial"/>
        </w:rPr>
        <w:t>20</w:t>
      </w:r>
      <w:r>
        <w:rPr>
          <w:rFonts w:ascii="Arial" w:hAnsi="Arial" w:cs="Arial"/>
        </w:rPr>
        <w:t>20/21 for electronic prescribing</w:t>
      </w:r>
      <w:r w:rsidR="00F11128">
        <w:rPr>
          <w:rFonts w:ascii="Arial" w:hAnsi="Arial" w:cs="Arial"/>
        </w:rPr>
        <w:t xml:space="preserve"> and medicines administration (ePMA)</w:t>
      </w:r>
      <w:r>
        <w:rPr>
          <w:rFonts w:ascii="Arial" w:hAnsi="Arial" w:cs="Arial"/>
        </w:rPr>
        <w:t xml:space="preserve">. </w:t>
      </w:r>
      <w:r w:rsidRPr="00F01AC3">
        <w:rPr>
          <w:rFonts w:ascii="Arial" w:hAnsi="Arial" w:cs="Arial"/>
        </w:rPr>
        <w:t>Further fund</w:t>
      </w:r>
      <w:r>
        <w:rPr>
          <w:rFonts w:ascii="Arial" w:hAnsi="Arial" w:cs="Arial"/>
        </w:rPr>
        <w:t>ing</w:t>
      </w:r>
      <w:r w:rsidRPr="00F01AC3">
        <w:rPr>
          <w:rFonts w:ascii="Arial" w:hAnsi="Arial" w:cs="Arial"/>
        </w:rPr>
        <w:t xml:space="preserve"> to support </w:t>
      </w:r>
      <w:r w:rsidR="00F11128">
        <w:rPr>
          <w:rFonts w:ascii="Arial" w:hAnsi="Arial" w:cs="Arial"/>
        </w:rPr>
        <w:t xml:space="preserve">the development of system wide </w:t>
      </w:r>
      <w:r w:rsidRPr="00F01AC3">
        <w:rPr>
          <w:rFonts w:ascii="Arial" w:hAnsi="Arial" w:cs="Arial"/>
        </w:rPr>
        <w:t>eRostering and Bed Management</w:t>
      </w:r>
      <w:r>
        <w:rPr>
          <w:rFonts w:ascii="Arial" w:hAnsi="Arial" w:cs="Arial"/>
        </w:rPr>
        <w:t xml:space="preserve"> </w:t>
      </w:r>
      <w:r w:rsidRPr="00F01AC3">
        <w:rPr>
          <w:rFonts w:ascii="Arial" w:hAnsi="Arial" w:cs="Arial"/>
        </w:rPr>
        <w:t>/</w:t>
      </w:r>
      <w:r>
        <w:rPr>
          <w:rFonts w:ascii="Arial" w:hAnsi="Arial" w:cs="Arial"/>
        </w:rPr>
        <w:t xml:space="preserve"> P</w:t>
      </w:r>
      <w:r w:rsidRPr="00F01AC3">
        <w:rPr>
          <w:rFonts w:ascii="Arial" w:hAnsi="Arial" w:cs="Arial"/>
        </w:rPr>
        <w:t xml:space="preserve">atient </w:t>
      </w:r>
      <w:r>
        <w:rPr>
          <w:rFonts w:ascii="Arial" w:hAnsi="Arial" w:cs="Arial"/>
        </w:rPr>
        <w:t>F</w:t>
      </w:r>
      <w:r w:rsidRPr="00F01AC3">
        <w:rPr>
          <w:rFonts w:ascii="Arial" w:hAnsi="Arial" w:cs="Arial"/>
        </w:rPr>
        <w:t>low</w:t>
      </w:r>
      <w:r w:rsidR="00F11128">
        <w:rPr>
          <w:rFonts w:ascii="Arial" w:hAnsi="Arial" w:cs="Arial"/>
        </w:rPr>
        <w:t xml:space="preserve"> exemplars</w:t>
      </w:r>
      <w:r w:rsidR="004E5942">
        <w:rPr>
          <w:rFonts w:ascii="Arial" w:hAnsi="Arial" w:cs="Arial"/>
        </w:rPr>
        <w:t xml:space="preserve"> is being progressed</w:t>
      </w:r>
      <w:r w:rsidR="00F11128">
        <w:rPr>
          <w:rFonts w:ascii="Arial" w:hAnsi="Arial" w:cs="Arial"/>
        </w:rPr>
        <w:t>.</w:t>
      </w:r>
      <w:r w:rsidRPr="00F01AC3">
        <w:rPr>
          <w:rFonts w:ascii="Arial" w:hAnsi="Arial" w:cs="Arial"/>
        </w:rPr>
        <w:t xml:space="preserve">  </w:t>
      </w:r>
      <w:r w:rsidR="00F11128">
        <w:rPr>
          <w:rFonts w:ascii="Arial" w:hAnsi="Arial" w:cs="Arial"/>
        </w:rPr>
        <w:t>T</w:t>
      </w:r>
      <w:r w:rsidRPr="00F01AC3">
        <w:rPr>
          <w:rFonts w:ascii="Arial" w:hAnsi="Arial" w:cs="Arial"/>
        </w:rPr>
        <w:t>he</w:t>
      </w:r>
      <w:r w:rsidR="00F11128">
        <w:rPr>
          <w:rFonts w:ascii="Arial" w:hAnsi="Arial" w:cs="Arial"/>
        </w:rPr>
        <w:t xml:space="preserve"> </w:t>
      </w:r>
      <w:proofErr w:type="spellStart"/>
      <w:r w:rsidR="00F11128">
        <w:rPr>
          <w:rFonts w:ascii="Arial" w:hAnsi="Arial" w:cs="Arial"/>
        </w:rPr>
        <w:t>ePMA</w:t>
      </w:r>
      <w:proofErr w:type="spellEnd"/>
      <w:r w:rsidRPr="00F01AC3">
        <w:rPr>
          <w:rFonts w:ascii="Arial" w:hAnsi="Arial" w:cs="Arial"/>
        </w:rPr>
        <w:t xml:space="preserve"> initiative </w:t>
      </w:r>
      <w:r w:rsidR="00F11128">
        <w:rPr>
          <w:rFonts w:ascii="Arial" w:hAnsi="Arial" w:cs="Arial"/>
        </w:rPr>
        <w:t>is</w:t>
      </w:r>
      <w:r w:rsidR="00F11128" w:rsidRPr="00F01AC3">
        <w:rPr>
          <w:rFonts w:ascii="Arial" w:hAnsi="Arial" w:cs="Arial"/>
        </w:rPr>
        <w:t xml:space="preserve"> </w:t>
      </w:r>
      <w:r w:rsidRPr="00F01AC3">
        <w:rPr>
          <w:rFonts w:ascii="Arial" w:hAnsi="Arial" w:cs="Arial"/>
        </w:rPr>
        <w:t>be</w:t>
      </w:r>
      <w:r w:rsidR="00F11128">
        <w:rPr>
          <w:rFonts w:ascii="Arial" w:hAnsi="Arial" w:cs="Arial"/>
        </w:rPr>
        <w:t>ing launched in parallel to this provider digitisation programme. The exemplar programmes will be announced shortly.</w:t>
      </w:r>
    </w:p>
    <w:p w14:paraId="78B8CE26" w14:textId="77777777" w:rsidR="0095252F" w:rsidRPr="0095252F" w:rsidRDefault="0095252F" w:rsidP="0095252F">
      <w:pPr>
        <w:pStyle w:val="ListParagraph"/>
        <w:rPr>
          <w:rFonts w:ascii="Arial" w:hAnsi="Arial" w:cs="Arial"/>
        </w:rPr>
      </w:pPr>
    </w:p>
    <w:p w14:paraId="64C9805D" w14:textId="77777777" w:rsidR="00620C39" w:rsidRDefault="00620C39" w:rsidP="00B05A0F">
      <w:pPr>
        <w:pStyle w:val="ListParagraph"/>
        <w:numPr>
          <w:ilvl w:val="1"/>
          <w:numId w:val="62"/>
        </w:numPr>
        <w:autoSpaceDE w:val="0"/>
        <w:autoSpaceDN w:val="0"/>
        <w:adjustRightInd w:val="0"/>
        <w:ind w:left="567" w:hanging="567"/>
        <w:rPr>
          <w:rFonts w:ascii="Arial" w:hAnsi="Arial" w:cs="Arial"/>
        </w:rPr>
      </w:pPr>
      <w:r>
        <w:rPr>
          <w:rFonts w:ascii="Arial" w:hAnsi="Arial" w:cs="Arial"/>
        </w:rPr>
        <w:t xml:space="preserve">The initiatives outlined above are likely to impact on how an STP chooses to direct its allocation. As these initiatives are targeted at selected providers and systems, some STPs will be impacted more than others. </w:t>
      </w:r>
    </w:p>
    <w:p w14:paraId="214E53AB" w14:textId="77777777" w:rsidR="00620C39" w:rsidRPr="00620C39" w:rsidRDefault="00620C39" w:rsidP="00620C39">
      <w:pPr>
        <w:pStyle w:val="ListParagraph"/>
        <w:rPr>
          <w:rFonts w:ascii="Arial" w:hAnsi="Arial" w:cs="Arial"/>
        </w:rPr>
      </w:pPr>
    </w:p>
    <w:p w14:paraId="54EC7F77" w14:textId="30CE6715" w:rsidR="003D5547" w:rsidRDefault="00C3530E" w:rsidP="00B05A0F">
      <w:pPr>
        <w:pStyle w:val="ListParagraph"/>
        <w:numPr>
          <w:ilvl w:val="1"/>
          <w:numId w:val="62"/>
        </w:numPr>
        <w:autoSpaceDE w:val="0"/>
        <w:autoSpaceDN w:val="0"/>
        <w:adjustRightInd w:val="0"/>
        <w:ind w:left="567" w:hanging="567"/>
        <w:rPr>
          <w:rFonts w:ascii="Arial" w:hAnsi="Arial" w:cs="Arial"/>
        </w:rPr>
      </w:pPr>
      <w:r>
        <w:rPr>
          <w:rFonts w:ascii="Arial" w:hAnsi="Arial" w:cs="Arial"/>
        </w:rPr>
        <w:lastRenderedPageBreak/>
        <w:t>Health System</w:t>
      </w:r>
      <w:r w:rsidR="00F11128">
        <w:rPr>
          <w:rFonts w:ascii="Arial" w:hAnsi="Arial" w:cs="Arial"/>
        </w:rPr>
        <w:t xml:space="preserve"> </w:t>
      </w:r>
      <w:r>
        <w:rPr>
          <w:rFonts w:ascii="Arial" w:hAnsi="Arial" w:cs="Arial"/>
        </w:rPr>
        <w:t>Led I</w:t>
      </w:r>
      <w:r w:rsidR="003D5547">
        <w:rPr>
          <w:rFonts w:ascii="Arial" w:hAnsi="Arial" w:cs="Arial"/>
        </w:rPr>
        <w:t xml:space="preserve">nvestment </w:t>
      </w:r>
      <w:r w:rsidR="001B6A93">
        <w:rPr>
          <w:rFonts w:ascii="Arial" w:hAnsi="Arial" w:cs="Arial"/>
        </w:rPr>
        <w:t xml:space="preserve">in provider digitisation will </w:t>
      </w:r>
      <w:r w:rsidR="00BD4918">
        <w:rPr>
          <w:rFonts w:ascii="Arial" w:hAnsi="Arial" w:cs="Arial"/>
        </w:rPr>
        <w:t>bring</w:t>
      </w:r>
      <w:r w:rsidR="001B6A93">
        <w:rPr>
          <w:rFonts w:ascii="Arial" w:hAnsi="Arial" w:cs="Arial"/>
        </w:rPr>
        <w:t xml:space="preserve"> outcomes that won’t be delivered through the </w:t>
      </w:r>
      <w:r w:rsidR="00251BC8">
        <w:rPr>
          <w:rFonts w:ascii="Arial" w:hAnsi="Arial" w:cs="Arial"/>
        </w:rPr>
        <w:t xml:space="preserve">various </w:t>
      </w:r>
      <w:r w:rsidR="001B6A93">
        <w:rPr>
          <w:rFonts w:ascii="Arial" w:hAnsi="Arial" w:cs="Arial"/>
        </w:rPr>
        <w:t xml:space="preserve">initiatives </w:t>
      </w:r>
      <w:r w:rsidR="00251BC8">
        <w:rPr>
          <w:rFonts w:ascii="Arial" w:hAnsi="Arial" w:cs="Arial"/>
        </w:rPr>
        <w:t xml:space="preserve">outlined </w:t>
      </w:r>
      <w:r w:rsidR="001B6A93">
        <w:rPr>
          <w:rFonts w:ascii="Arial" w:hAnsi="Arial" w:cs="Arial"/>
        </w:rPr>
        <w:t>above.</w:t>
      </w:r>
      <w:r w:rsidR="009B24FC">
        <w:rPr>
          <w:rFonts w:ascii="Arial" w:hAnsi="Arial" w:cs="Arial"/>
        </w:rPr>
        <w:t xml:space="preserve"> It will explicitly align with local STP aims and ambitions, be prioritised against local circumstances, and will see investment across all STPs.</w:t>
      </w:r>
      <w:r w:rsidR="000734E2">
        <w:rPr>
          <w:rFonts w:ascii="Arial" w:hAnsi="Arial" w:cs="Arial"/>
        </w:rPr>
        <w:t xml:space="preserve"> </w:t>
      </w:r>
      <w:r w:rsidR="004A4FF6">
        <w:rPr>
          <w:rFonts w:ascii="Arial" w:hAnsi="Arial" w:cs="Arial"/>
        </w:rPr>
        <w:t xml:space="preserve">The combination of GDE and </w:t>
      </w:r>
      <w:r>
        <w:rPr>
          <w:rFonts w:ascii="Arial" w:hAnsi="Arial" w:cs="Arial"/>
        </w:rPr>
        <w:t>Health System</w:t>
      </w:r>
      <w:r w:rsidR="004E5942">
        <w:rPr>
          <w:rFonts w:ascii="Arial" w:hAnsi="Arial" w:cs="Arial"/>
        </w:rPr>
        <w:t xml:space="preserve"> </w:t>
      </w:r>
      <w:r>
        <w:rPr>
          <w:rFonts w:ascii="Arial" w:hAnsi="Arial" w:cs="Arial"/>
        </w:rPr>
        <w:t>L</w:t>
      </w:r>
      <w:r w:rsidR="004A4FF6">
        <w:rPr>
          <w:rFonts w:ascii="Arial" w:hAnsi="Arial" w:cs="Arial"/>
        </w:rPr>
        <w:t xml:space="preserve">ed </w:t>
      </w:r>
      <w:r w:rsidR="00A23AB4">
        <w:rPr>
          <w:rFonts w:ascii="Arial" w:hAnsi="Arial" w:cs="Arial"/>
        </w:rPr>
        <w:t>I</w:t>
      </w:r>
      <w:r w:rsidR="004A4FF6">
        <w:rPr>
          <w:rFonts w:ascii="Arial" w:hAnsi="Arial" w:cs="Arial"/>
        </w:rPr>
        <w:t xml:space="preserve">nvestment will </w:t>
      </w:r>
      <w:r w:rsidR="00C90FA8">
        <w:rPr>
          <w:rFonts w:ascii="Arial" w:hAnsi="Arial" w:cs="Arial"/>
        </w:rPr>
        <w:t xml:space="preserve">see financial support for </w:t>
      </w:r>
      <w:r w:rsidR="004A4FF6">
        <w:rPr>
          <w:rFonts w:ascii="Arial" w:hAnsi="Arial" w:cs="Arial"/>
        </w:rPr>
        <w:t xml:space="preserve">digital leaders </w:t>
      </w:r>
      <w:r w:rsidR="00620C39">
        <w:rPr>
          <w:rFonts w:ascii="Arial" w:hAnsi="Arial" w:cs="Arial"/>
        </w:rPr>
        <w:t>(</w:t>
      </w:r>
      <w:r w:rsidR="004A4FF6">
        <w:rPr>
          <w:rFonts w:ascii="Arial" w:hAnsi="Arial" w:cs="Arial"/>
        </w:rPr>
        <w:t>to then support others</w:t>
      </w:r>
      <w:r w:rsidR="00620C39">
        <w:rPr>
          <w:rFonts w:ascii="Arial" w:hAnsi="Arial" w:cs="Arial"/>
        </w:rPr>
        <w:t>)</w:t>
      </w:r>
      <w:r w:rsidR="00C90FA8">
        <w:rPr>
          <w:rFonts w:ascii="Arial" w:hAnsi="Arial" w:cs="Arial"/>
        </w:rPr>
        <w:t>,</w:t>
      </w:r>
      <w:r w:rsidR="004A4FF6">
        <w:rPr>
          <w:rFonts w:ascii="Arial" w:hAnsi="Arial" w:cs="Arial"/>
        </w:rPr>
        <w:t xml:space="preserve"> and </w:t>
      </w:r>
      <w:r w:rsidR="00B05A0F">
        <w:rPr>
          <w:rFonts w:ascii="Arial" w:hAnsi="Arial" w:cs="Arial"/>
        </w:rPr>
        <w:t xml:space="preserve">for </w:t>
      </w:r>
      <w:r w:rsidR="004A4FF6">
        <w:rPr>
          <w:rFonts w:ascii="Arial" w:hAnsi="Arial" w:cs="Arial"/>
        </w:rPr>
        <w:t>less mature o</w:t>
      </w:r>
      <w:r w:rsidR="00C90FA8">
        <w:rPr>
          <w:rFonts w:ascii="Arial" w:hAnsi="Arial" w:cs="Arial"/>
        </w:rPr>
        <w:t>rganisations to help them get ready for future enterprise-wide digitisation.</w:t>
      </w:r>
    </w:p>
    <w:p w14:paraId="0FE2E8DA" w14:textId="77777777" w:rsidR="00393A5D" w:rsidRDefault="00393A5D">
      <w:pPr>
        <w:rPr>
          <w:rFonts w:ascii="Arial" w:eastAsia="Times New Roman" w:hAnsi="Arial" w:cs="Arial"/>
          <w:b/>
          <w:bCs/>
          <w:color w:val="0072C6"/>
          <w:kern w:val="32"/>
          <w:sz w:val="32"/>
          <w:szCs w:val="32"/>
        </w:rPr>
      </w:pPr>
      <w:r>
        <w:rPr>
          <w:rFonts w:ascii="Arial" w:eastAsia="Times New Roman" w:hAnsi="Arial" w:cs="Arial"/>
          <w:b/>
          <w:bCs/>
          <w:color w:val="0072C6"/>
          <w:kern w:val="32"/>
          <w:sz w:val="32"/>
          <w:szCs w:val="32"/>
        </w:rPr>
        <w:br w:type="page"/>
      </w:r>
    </w:p>
    <w:p w14:paraId="0F0BA6E6" w14:textId="25F28BD0" w:rsidR="004A592D" w:rsidRPr="00932C88" w:rsidRDefault="00C3530E" w:rsidP="00B05A0F">
      <w:pPr>
        <w:numPr>
          <w:ilvl w:val="0"/>
          <w:numId w:val="62"/>
        </w:numPr>
        <w:spacing w:after="0" w:line="240" w:lineRule="auto"/>
        <w:outlineLvl w:val="0"/>
        <w:rPr>
          <w:rFonts w:ascii="Arial" w:eastAsia="Times New Roman" w:hAnsi="Arial" w:cs="Arial"/>
          <w:b/>
          <w:bCs/>
          <w:color w:val="0072C6"/>
          <w:kern w:val="32"/>
          <w:sz w:val="28"/>
          <w:szCs w:val="32"/>
        </w:rPr>
      </w:pPr>
      <w:bookmarkStart w:id="5" w:name="_Toc521080040"/>
      <w:r w:rsidRPr="00932C88">
        <w:rPr>
          <w:rFonts w:ascii="Arial" w:eastAsia="Times New Roman" w:hAnsi="Arial" w:cs="Arial"/>
          <w:b/>
          <w:bCs/>
          <w:color w:val="0072C6"/>
          <w:kern w:val="32"/>
          <w:sz w:val="28"/>
          <w:szCs w:val="32"/>
        </w:rPr>
        <w:lastRenderedPageBreak/>
        <w:t>Health System</w:t>
      </w:r>
      <w:r w:rsidR="004E5942" w:rsidRPr="00932C88">
        <w:rPr>
          <w:rFonts w:ascii="Arial" w:eastAsia="Times New Roman" w:hAnsi="Arial" w:cs="Arial"/>
          <w:b/>
          <w:bCs/>
          <w:color w:val="0072C6"/>
          <w:kern w:val="32"/>
          <w:sz w:val="28"/>
          <w:szCs w:val="32"/>
        </w:rPr>
        <w:t xml:space="preserve"> </w:t>
      </w:r>
      <w:r w:rsidRPr="00932C88">
        <w:rPr>
          <w:rFonts w:ascii="Arial" w:eastAsia="Times New Roman" w:hAnsi="Arial" w:cs="Arial"/>
          <w:b/>
          <w:bCs/>
          <w:color w:val="0072C6"/>
          <w:kern w:val="32"/>
          <w:sz w:val="28"/>
          <w:szCs w:val="32"/>
        </w:rPr>
        <w:t>L</w:t>
      </w:r>
      <w:r w:rsidR="00B05A0F" w:rsidRPr="00932C88">
        <w:rPr>
          <w:rFonts w:ascii="Arial" w:eastAsia="Times New Roman" w:hAnsi="Arial" w:cs="Arial"/>
          <w:b/>
          <w:bCs/>
          <w:color w:val="0072C6"/>
          <w:kern w:val="32"/>
          <w:sz w:val="28"/>
          <w:szCs w:val="32"/>
        </w:rPr>
        <w:t>ed I</w:t>
      </w:r>
      <w:r w:rsidR="004A592D" w:rsidRPr="00932C88">
        <w:rPr>
          <w:rFonts w:ascii="Arial" w:eastAsia="Times New Roman" w:hAnsi="Arial" w:cs="Arial"/>
          <w:b/>
          <w:bCs/>
          <w:color w:val="0072C6"/>
          <w:kern w:val="32"/>
          <w:sz w:val="28"/>
          <w:szCs w:val="32"/>
        </w:rPr>
        <w:t>nvestment</w:t>
      </w:r>
      <w:r w:rsidR="00000C30" w:rsidRPr="00932C88">
        <w:rPr>
          <w:rFonts w:ascii="Arial" w:eastAsia="Times New Roman" w:hAnsi="Arial" w:cs="Arial"/>
          <w:b/>
          <w:bCs/>
          <w:color w:val="0072C6"/>
          <w:kern w:val="32"/>
          <w:sz w:val="28"/>
          <w:szCs w:val="32"/>
        </w:rPr>
        <w:t xml:space="preserve"> in provider digitisation</w:t>
      </w:r>
      <w:bookmarkEnd w:id="5"/>
    </w:p>
    <w:p w14:paraId="4D0E85C5" w14:textId="77777777" w:rsidR="004A592D" w:rsidRPr="00DE58FC" w:rsidRDefault="004A592D" w:rsidP="004A592D">
      <w:pPr>
        <w:autoSpaceDE w:val="0"/>
        <w:autoSpaceDN w:val="0"/>
        <w:adjustRightInd w:val="0"/>
        <w:spacing w:after="0"/>
        <w:rPr>
          <w:rFonts w:ascii="Arial" w:eastAsia="Times New Roman" w:hAnsi="Arial" w:cs="Arial"/>
          <w:sz w:val="24"/>
          <w:szCs w:val="24"/>
          <w:lang w:eastAsia="en-GB"/>
        </w:rPr>
      </w:pPr>
    </w:p>
    <w:p w14:paraId="412EA398" w14:textId="28C27462" w:rsidR="002B24B6" w:rsidRDefault="002B24B6" w:rsidP="00B05A0F">
      <w:pPr>
        <w:pStyle w:val="ListParagraph"/>
        <w:numPr>
          <w:ilvl w:val="1"/>
          <w:numId w:val="63"/>
        </w:numPr>
        <w:autoSpaceDE w:val="0"/>
        <w:autoSpaceDN w:val="0"/>
        <w:adjustRightInd w:val="0"/>
        <w:rPr>
          <w:rFonts w:ascii="Arial" w:hAnsi="Arial" w:cs="Arial"/>
        </w:rPr>
      </w:pPr>
      <w:r>
        <w:rPr>
          <w:rFonts w:ascii="Arial" w:hAnsi="Arial" w:cs="Arial"/>
        </w:rPr>
        <w:t>Funding has been secured for a</w:t>
      </w:r>
      <w:r w:rsidR="00C3530E">
        <w:rPr>
          <w:rFonts w:ascii="Arial" w:hAnsi="Arial" w:cs="Arial"/>
        </w:rPr>
        <w:t xml:space="preserve"> Health System</w:t>
      </w:r>
      <w:r w:rsidR="004E5942">
        <w:rPr>
          <w:rFonts w:ascii="Arial" w:hAnsi="Arial" w:cs="Arial"/>
        </w:rPr>
        <w:t xml:space="preserve"> </w:t>
      </w:r>
      <w:r w:rsidR="00C3530E">
        <w:rPr>
          <w:rFonts w:ascii="Arial" w:hAnsi="Arial" w:cs="Arial"/>
        </w:rPr>
        <w:t>Led Investment p</w:t>
      </w:r>
      <w:r>
        <w:rPr>
          <w:rFonts w:ascii="Arial" w:hAnsi="Arial" w:cs="Arial"/>
        </w:rPr>
        <w:t>rogramme to deliver the following objectives:</w:t>
      </w:r>
    </w:p>
    <w:p w14:paraId="3546CD92" w14:textId="77777777" w:rsidR="002B24B6" w:rsidRPr="00C3530E" w:rsidRDefault="002B24B6" w:rsidP="002B24B6">
      <w:pPr>
        <w:pStyle w:val="ListParagraph"/>
        <w:numPr>
          <w:ilvl w:val="0"/>
          <w:numId w:val="56"/>
        </w:numPr>
        <w:autoSpaceDE w:val="0"/>
        <w:autoSpaceDN w:val="0"/>
        <w:adjustRightInd w:val="0"/>
        <w:ind w:left="1134"/>
        <w:rPr>
          <w:rFonts w:ascii="Arial" w:hAnsi="Arial" w:cs="Arial"/>
        </w:rPr>
      </w:pPr>
      <w:r w:rsidRPr="00C3530E">
        <w:rPr>
          <w:rFonts w:ascii="Arial" w:hAnsi="Arial" w:cs="Arial"/>
        </w:rPr>
        <w:t>Advance the digital maturity of secondary care providers</w:t>
      </w:r>
    </w:p>
    <w:p w14:paraId="0660D551" w14:textId="77777777" w:rsidR="0008525A" w:rsidRDefault="0008525A" w:rsidP="002B24B6">
      <w:pPr>
        <w:pStyle w:val="ListParagraph"/>
        <w:numPr>
          <w:ilvl w:val="0"/>
          <w:numId w:val="56"/>
        </w:numPr>
        <w:autoSpaceDE w:val="0"/>
        <w:autoSpaceDN w:val="0"/>
        <w:adjustRightInd w:val="0"/>
        <w:ind w:left="1134"/>
        <w:rPr>
          <w:rFonts w:ascii="Arial" w:hAnsi="Arial" w:cs="Arial"/>
        </w:rPr>
      </w:pPr>
      <w:r w:rsidRPr="0008525A">
        <w:rPr>
          <w:rFonts w:ascii="Arial" w:hAnsi="Arial" w:cs="Arial"/>
        </w:rPr>
        <w:t xml:space="preserve">Enable information to be shared across local healthcare systems, laying the foundations for integrated care </w:t>
      </w:r>
    </w:p>
    <w:p w14:paraId="78491B39" w14:textId="4BE4374D" w:rsidR="002B24B6" w:rsidRPr="00C3530E" w:rsidRDefault="002B24B6" w:rsidP="002B24B6">
      <w:pPr>
        <w:pStyle w:val="ListParagraph"/>
        <w:numPr>
          <w:ilvl w:val="0"/>
          <w:numId w:val="56"/>
        </w:numPr>
        <w:autoSpaceDE w:val="0"/>
        <w:autoSpaceDN w:val="0"/>
        <w:adjustRightInd w:val="0"/>
        <w:ind w:left="1134"/>
        <w:rPr>
          <w:rFonts w:ascii="Arial" w:hAnsi="Arial" w:cs="Arial"/>
        </w:rPr>
      </w:pPr>
      <w:r w:rsidRPr="00C3530E">
        <w:rPr>
          <w:rFonts w:ascii="Arial" w:hAnsi="Arial" w:cs="Arial"/>
        </w:rPr>
        <w:t>Allow STP</w:t>
      </w:r>
      <w:r w:rsidR="005903DA">
        <w:rPr>
          <w:rFonts w:ascii="Arial" w:hAnsi="Arial" w:cs="Arial"/>
        </w:rPr>
        <w:t>/ICS</w:t>
      </w:r>
      <w:r w:rsidRPr="00C3530E">
        <w:rPr>
          <w:rFonts w:ascii="Arial" w:hAnsi="Arial" w:cs="Arial"/>
        </w:rPr>
        <w:t>s to harness digital technology to help realise their transformation goals</w:t>
      </w:r>
    </w:p>
    <w:p w14:paraId="27A65AF6" w14:textId="77777777" w:rsidR="002B24B6" w:rsidRPr="002B24B6" w:rsidRDefault="002B24B6" w:rsidP="002B24B6">
      <w:pPr>
        <w:pStyle w:val="ListParagraph"/>
        <w:numPr>
          <w:ilvl w:val="0"/>
          <w:numId w:val="56"/>
        </w:numPr>
        <w:autoSpaceDE w:val="0"/>
        <w:autoSpaceDN w:val="0"/>
        <w:adjustRightInd w:val="0"/>
        <w:ind w:left="1134"/>
        <w:rPr>
          <w:rFonts w:ascii="Arial" w:hAnsi="Arial" w:cs="Arial"/>
        </w:rPr>
      </w:pPr>
      <w:r w:rsidRPr="00C3530E">
        <w:rPr>
          <w:rFonts w:ascii="Arial" w:hAnsi="Arial" w:cs="Arial"/>
        </w:rPr>
        <w:t>Catalyse STP</w:t>
      </w:r>
      <w:r w:rsidR="005903DA">
        <w:rPr>
          <w:rFonts w:ascii="Arial" w:hAnsi="Arial" w:cs="Arial"/>
        </w:rPr>
        <w:t>/ICS</w:t>
      </w:r>
      <w:r w:rsidRPr="00C3530E">
        <w:rPr>
          <w:rFonts w:ascii="Arial" w:hAnsi="Arial" w:cs="Arial"/>
        </w:rPr>
        <w:t>-level leadership</w:t>
      </w:r>
      <w:r>
        <w:rPr>
          <w:rFonts w:ascii="Arial" w:hAnsi="Arial" w:cs="Arial"/>
        </w:rPr>
        <w:t xml:space="preserve"> of the digital agenda at a local level.</w:t>
      </w:r>
    </w:p>
    <w:p w14:paraId="33FC4F95" w14:textId="77777777" w:rsidR="002B24B6" w:rsidRDefault="002B24B6" w:rsidP="002B24B6">
      <w:pPr>
        <w:pStyle w:val="ListParagraph"/>
        <w:autoSpaceDE w:val="0"/>
        <w:autoSpaceDN w:val="0"/>
        <w:adjustRightInd w:val="0"/>
        <w:ind w:left="576"/>
        <w:rPr>
          <w:rFonts w:ascii="Arial" w:hAnsi="Arial" w:cs="Arial"/>
        </w:rPr>
      </w:pPr>
    </w:p>
    <w:p w14:paraId="7185D427" w14:textId="46F79996" w:rsidR="00F13C61" w:rsidRDefault="00190CD0" w:rsidP="00B05A0F">
      <w:pPr>
        <w:pStyle w:val="ListParagraph"/>
        <w:numPr>
          <w:ilvl w:val="1"/>
          <w:numId w:val="63"/>
        </w:numPr>
        <w:autoSpaceDE w:val="0"/>
        <w:autoSpaceDN w:val="0"/>
        <w:adjustRightInd w:val="0"/>
        <w:spacing w:after="120"/>
        <w:ind w:left="578" w:hanging="578"/>
        <w:rPr>
          <w:rFonts w:ascii="Arial" w:hAnsi="Arial" w:cs="Arial"/>
        </w:rPr>
      </w:pPr>
      <w:r>
        <w:rPr>
          <w:rFonts w:ascii="Arial" w:hAnsi="Arial" w:cs="Arial"/>
        </w:rPr>
        <w:t xml:space="preserve">At a national level, the </w:t>
      </w:r>
      <w:r w:rsidR="002610FB">
        <w:rPr>
          <w:rFonts w:ascii="Arial" w:hAnsi="Arial" w:cs="Arial"/>
        </w:rPr>
        <w:t>f</w:t>
      </w:r>
      <w:r w:rsidR="00F13C61">
        <w:rPr>
          <w:rFonts w:ascii="Arial" w:hAnsi="Arial" w:cs="Arial"/>
        </w:rPr>
        <w:t xml:space="preserve">unding available for </w:t>
      </w:r>
      <w:r w:rsidR="00C3530E">
        <w:rPr>
          <w:rFonts w:ascii="Arial" w:hAnsi="Arial" w:cs="Arial"/>
        </w:rPr>
        <w:t>Health System</w:t>
      </w:r>
      <w:r w:rsidR="004E5942">
        <w:rPr>
          <w:rFonts w:ascii="Arial" w:hAnsi="Arial" w:cs="Arial"/>
        </w:rPr>
        <w:t xml:space="preserve"> </w:t>
      </w:r>
      <w:r w:rsidR="00C3530E">
        <w:rPr>
          <w:rFonts w:ascii="Arial" w:hAnsi="Arial" w:cs="Arial"/>
        </w:rPr>
        <w:t>L</w:t>
      </w:r>
      <w:r w:rsidR="00F13C61">
        <w:rPr>
          <w:rFonts w:ascii="Arial" w:hAnsi="Arial" w:cs="Arial"/>
        </w:rPr>
        <w:t xml:space="preserve">ed </w:t>
      </w:r>
      <w:r w:rsidR="00C3530E">
        <w:rPr>
          <w:rFonts w:ascii="Arial" w:hAnsi="Arial" w:cs="Arial"/>
        </w:rPr>
        <w:t>I</w:t>
      </w:r>
      <w:r w:rsidR="00F13C61">
        <w:rPr>
          <w:rFonts w:ascii="Arial" w:hAnsi="Arial" w:cs="Arial"/>
        </w:rPr>
        <w:t xml:space="preserve">nvestment in provider digitisation </w:t>
      </w:r>
      <w:r>
        <w:rPr>
          <w:rFonts w:ascii="Arial" w:hAnsi="Arial" w:cs="Arial"/>
        </w:rPr>
        <w:t xml:space="preserve">is </w:t>
      </w:r>
      <w:r w:rsidR="00F13C61">
        <w:rPr>
          <w:rFonts w:ascii="Arial" w:hAnsi="Arial" w:cs="Arial"/>
        </w:rPr>
        <w:t>profiled below:</w:t>
      </w:r>
    </w:p>
    <w:tbl>
      <w:tblPr>
        <w:tblStyle w:val="TableGrid"/>
        <w:tblW w:w="0" w:type="auto"/>
        <w:tblInd w:w="959" w:type="dxa"/>
        <w:tblLook w:val="04A0" w:firstRow="1" w:lastRow="0" w:firstColumn="1" w:lastColumn="0" w:noHBand="0" w:noVBand="1"/>
      </w:tblPr>
      <w:tblGrid>
        <w:gridCol w:w="1533"/>
        <w:gridCol w:w="1687"/>
        <w:gridCol w:w="1687"/>
        <w:gridCol w:w="1688"/>
      </w:tblGrid>
      <w:tr w:rsidR="00A46084" w14:paraId="4F10F9E0" w14:textId="77777777" w:rsidTr="00A46084">
        <w:tc>
          <w:tcPr>
            <w:tcW w:w="1533" w:type="dxa"/>
          </w:tcPr>
          <w:p w14:paraId="3628D1E2" w14:textId="77777777" w:rsidR="00A46084" w:rsidRDefault="00A46084" w:rsidP="00F13C61">
            <w:pPr>
              <w:autoSpaceDE w:val="0"/>
              <w:autoSpaceDN w:val="0"/>
              <w:adjustRightInd w:val="0"/>
              <w:rPr>
                <w:rFonts w:ascii="Arial" w:hAnsi="Arial" w:cs="Arial"/>
              </w:rPr>
            </w:pPr>
          </w:p>
        </w:tc>
        <w:tc>
          <w:tcPr>
            <w:tcW w:w="1687" w:type="dxa"/>
          </w:tcPr>
          <w:p w14:paraId="57088C5D" w14:textId="21AAB53B" w:rsidR="00A46084" w:rsidRDefault="002D7D65" w:rsidP="00A46084">
            <w:pPr>
              <w:autoSpaceDE w:val="0"/>
              <w:autoSpaceDN w:val="0"/>
              <w:adjustRightInd w:val="0"/>
              <w:jc w:val="center"/>
              <w:rPr>
                <w:rFonts w:ascii="Arial" w:hAnsi="Arial" w:cs="Arial"/>
              </w:rPr>
            </w:pPr>
            <w:r>
              <w:rPr>
                <w:rFonts w:ascii="Arial" w:hAnsi="Arial" w:cs="Arial"/>
              </w:rPr>
              <w:t>20</w:t>
            </w:r>
            <w:r w:rsidR="00A46084">
              <w:rPr>
                <w:rFonts w:ascii="Arial" w:hAnsi="Arial" w:cs="Arial"/>
              </w:rPr>
              <w:t>18/19</w:t>
            </w:r>
          </w:p>
        </w:tc>
        <w:tc>
          <w:tcPr>
            <w:tcW w:w="1687" w:type="dxa"/>
          </w:tcPr>
          <w:p w14:paraId="7DFDADA3" w14:textId="2CF76769" w:rsidR="00A46084" w:rsidRDefault="002D7D65" w:rsidP="00A46084">
            <w:pPr>
              <w:autoSpaceDE w:val="0"/>
              <w:autoSpaceDN w:val="0"/>
              <w:adjustRightInd w:val="0"/>
              <w:jc w:val="center"/>
              <w:rPr>
                <w:rFonts w:ascii="Arial" w:hAnsi="Arial" w:cs="Arial"/>
              </w:rPr>
            </w:pPr>
            <w:r>
              <w:rPr>
                <w:rFonts w:ascii="Arial" w:hAnsi="Arial" w:cs="Arial"/>
              </w:rPr>
              <w:t>20</w:t>
            </w:r>
            <w:r w:rsidR="00A46084">
              <w:rPr>
                <w:rFonts w:ascii="Arial" w:hAnsi="Arial" w:cs="Arial"/>
              </w:rPr>
              <w:t>19/20</w:t>
            </w:r>
          </w:p>
        </w:tc>
        <w:tc>
          <w:tcPr>
            <w:tcW w:w="1688" w:type="dxa"/>
          </w:tcPr>
          <w:p w14:paraId="07FB4EF6" w14:textId="2A46EBDB" w:rsidR="00A46084" w:rsidRDefault="002D7D65" w:rsidP="00A46084">
            <w:pPr>
              <w:autoSpaceDE w:val="0"/>
              <w:autoSpaceDN w:val="0"/>
              <w:adjustRightInd w:val="0"/>
              <w:jc w:val="center"/>
              <w:rPr>
                <w:rFonts w:ascii="Arial" w:hAnsi="Arial" w:cs="Arial"/>
              </w:rPr>
            </w:pPr>
            <w:r>
              <w:rPr>
                <w:rFonts w:ascii="Arial" w:hAnsi="Arial" w:cs="Arial"/>
              </w:rPr>
              <w:t>20</w:t>
            </w:r>
            <w:r w:rsidR="00A46084">
              <w:rPr>
                <w:rFonts w:ascii="Arial" w:hAnsi="Arial" w:cs="Arial"/>
              </w:rPr>
              <w:t>20/21</w:t>
            </w:r>
          </w:p>
        </w:tc>
      </w:tr>
      <w:tr w:rsidR="00C933A2" w14:paraId="0DCEAD36" w14:textId="77777777" w:rsidTr="00C933A2">
        <w:tc>
          <w:tcPr>
            <w:tcW w:w="1533" w:type="dxa"/>
          </w:tcPr>
          <w:p w14:paraId="594EDD4A" w14:textId="77777777" w:rsidR="00C933A2" w:rsidRDefault="00C933A2" w:rsidP="00F13C61">
            <w:pPr>
              <w:autoSpaceDE w:val="0"/>
              <w:autoSpaceDN w:val="0"/>
              <w:adjustRightInd w:val="0"/>
              <w:rPr>
                <w:rFonts w:ascii="Arial" w:hAnsi="Arial" w:cs="Arial"/>
              </w:rPr>
            </w:pPr>
            <w:r>
              <w:rPr>
                <w:rFonts w:ascii="Arial" w:hAnsi="Arial" w:cs="Arial"/>
              </w:rPr>
              <w:t>Capital</w:t>
            </w:r>
          </w:p>
        </w:tc>
        <w:tc>
          <w:tcPr>
            <w:tcW w:w="1687" w:type="dxa"/>
          </w:tcPr>
          <w:p w14:paraId="418C54B2" w14:textId="77777777" w:rsidR="00C933A2" w:rsidRDefault="00C933A2" w:rsidP="00A46084">
            <w:pPr>
              <w:autoSpaceDE w:val="0"/>
              <w:autoSpaceDN w:val="0"/>
              <w:adjustRightInd w:val="0"/>
              <w:jc w:val="center"/>
              <w:rPr>
                <w:rFonts w:ascii="Arial" w:hAnsi="Arial" w:cs="Arial"/>
              </w:rPr>
            </w:pPr>
            <w:r>
              <w:rPr>
                <w:rFonts w:ascii="Arial" w:hAnsi="Arial" w:cs="Arial"/>
              </w:rPr>
              <w:t>£104.0m</w:t>
            </w:r>
          </w:p>
        </w:tc>
        <w:tc>
          <w:tcPr>
            <w:tcW w:w="1687" w:type="dxa"/>
          </w:tcPr>
          <w:p w14:paraId="3F9A1152" w14:textId="77777777" w:rsidR="00C933A2" w:rsidRDefault="00C933A2" w:rsidP="00A46084">
            <w:pPr>
              <w:autoSpaceDE w:val="0"/>
              <w:autoSpaceDN w:val="0"/>
              <w:adjustRightInd w:val="0"/>
              <w:jc w:val="center"/>
              <w:rPr>
                <w:rFonts w:ascii="Arial" w:hAnsi="Arial" w:cs="Arial"/>
              </w:rPr>
            </w:pPr>
            <w:r>
              <w:rPr>
                <w:rFonts w:ascii="Arial" w:hAnsi="Arial" w:cs="Arial"/>
              </w:rPr>
              <w:t>£92.4m</w:t>
            </w:r>
          </w:p>
        </w:tc>
        <w:tc>
          <w:tcPr>
            <w:tcW w:w="1688" w:type="dxa"/>
            <w:vMerge w:val="restart"/>
            <w:vAlign w:val="center"/>
          </w:tcPr>
          <w:p w14:paraId="14975CC5" w14:textId="77777777" w:rsidR="00C933A2" w:rsidRDefault="00C933A2" w:rsidP="00C933A2">
            <w:pPr>
              <w:autoSpaceDE w:val="0"/>
              <w:autoSpaceDN w:val="0"/>
              <w:adjustRightInd w:val="0"/>
              <w:jc w:val="center"/>
              <w:rPr>
                <w:rFonts w:ascii="Arial" w:hAnsi="Arial" w:cs="Arial"/>
              </w:rPr>
            </w:pPr>
            <w:r>
              <w:rPr>
                <w:rFonts w:ascii="Arial" w:hAnsi="Arial" w:cs="Arial"/>
              </w:rPr>
              <w:t>£216.1m*</w:t>
            </w:r>
          </w:p>
        </w:tc>
      </w:tr>
      <w:tr w:rsidR="00C933A2" w14:paraId="32E350FE" w14:textId="77777777" w:rsidTr="00A46084">
        <w:tc>
          <w:tcPr>
            <w:tcW w:w="1533" w:type="dxa"/>
          </w:tcPr>
          <w:p w14:paraId="4CD7BA92" w14:textId="77777777" w:rsidR="00C933A2" w:rsidRDefault="00C933A2" w:rsidP="00F13C61">
            <w:pPr>
              <w:autoSpaceDE w:val="0"/>
              <w:autoSpaceDN w:val="0"/>
              <w:adjustRightInd w:val="0"/>
              <w:rPr>
                <w:rFonts w:ascii="Arial" w:hAnsi="Arial" w:cs="Arial"/>
              </w:rPr>
            </w:pPr>
            <w:r>
              <w:rPr>
                <w:rFonts w:ascii="Arial" w:hAnsi="Arial" w:cs="Arial"/>
              </w:rPr>
              <w:t>Revenue</w:t>
            </w:r>
          </w:p>
        </w:tc>
        <w:tc>
          <w:tcPr>
            <w:tcW w:w="1687" w:type="dxa"/>
          </w:tcPr>
          <w:p w14:paraId="0B1D5799" w14:textId="77777777" w:rsidR="00C933A2" w:rsidRDefault="00C933A2" w:rsidP="00A46084">
            <w:pPr>
              <w:autoSpaceDE w:val="0"/>
              <w:autoSpaceDN w:val="0"/>
              <w:adjustRightInd w:val="0"/>
              <w:jc w:val="center"/>
              <w:rPr>
                <w:rFonts w:ascii="Arial" w:hAnsi="Arial" w:cs="Arial"/>
              </w:rPr>
            </w:pPr>
            <w:r>
              <w:rPr>
                <w:rFonts w:ascii="Arial" w:hAnsi="Arial" w:cs="Arial"/>
              </w:rPr>
              <w:t>-</w:t>
            </w:r>
          </w:p>
        </w:tc>
        <w:tc>
          <w:tcPr>
            <w:tcW w:w="1687" w:type="dxa"/>
          </w:tcPr>
          <w:p w14:paraId="7FB632EA" w14:textId="77777777" w:rsidR="00C933A2" w:rsidRDefault="00C933A2" w:rsidP="00A46084">
            <w:pPr>
              <w:autoSpaceDE w:val="0"/>
              <w:autoSpaceDN w:val="0"/>
              <w:adjustRightInd w:val="0"/>
              <w:jc w:val="center"/>
              <w:rPr>
                <w:rFonts w:ascii="Arial" w:hAnsi="Arial" w:cs="Arial"/>
              </w:rPr>
            </w:pPr>
            <w:r>
              <w:rPr>
                <w:rFonts w:ascii="Arial" w:hAnsi="Arial" w:cs="Arial"/>
              </w:rPr>
              <w:t>-</w:t>
            </w:r>
          </w:p>
        </w:tc>
        <w:tc>
          <w:tcPr>
            <w:tcW w:w="1688" w:type="dxa"/>
            <w:vMerge/>
          </w:tcPr>
          <w:p w14:paraId="0BCC2CE7" w14:textId="77777777" w:rsidR="00C933A2" w:rsidRDefault="00C933A2" w:rsidP="00A46084">
            <w:pPr>
              <w:autoSpaceDE w:val="0"/>
              <w:autoSpaceDN w:val="0"/>
              <w:adjustRightInd w:val="0"/>
              <w:jc w:val="center"/>
              <w:rPr>
                <w:rFonts w:ascii="Arial" w:hAnsi="Arial" w:cs="Arial"/>
              </w:rPr>
            </w:pPr>
          </w:p>
        </w:tc>
      </w:tr>
    </w:tbl>
    <w:p w14:paraId="55A6E728" w14:textId="7DD2F9AF" w:rsidR="00047E81" w:rsidRPr="00C933A2" w:rsidRDefault="00C933A2" w:rsidP="00C933A2">
      <w:pPr>
        <w:autoSpaceDE w:val="0"/>
        <w:autoSpaceDN w:val="0"/>
        <w:adjustRightInd w:val="0"/>
        <w:spacing w:after="0"/>
        <w:ind w:left="567"/>
        <w:rPr>
          <w:rFonts w:ascii="Arial" w:hAnsi="Arial" w:cs="Arial"/>
        </w:rPr>
      </w:pPr>
      <w:r w:rsidRPr="00C933A2">
        <w:rPr>
          <w:rFonts w:ascii="Arial" w:eastAsia="Times New Roman" w:hAnsi="Arial" w:cs="Arial"/>
          <w:sz w:val="24"/>
          <w:szCs w:val="24"/>
          <w:lang w:eastAsia="en-GB"/>
        </w:rPr>
        <w:t>*</w:t>
      </w:r>
      <w:r>
        <w:rPr>
          <w:rFonts w:ascii="Arial" w:hAnsi="Arial" w:cs="Arial"/>
        </w:rPr>
        <w:t xml:space="preserve"> The mix of capital and (non-recurrent) revenue for </w:t>
      </w:r>
      <w:r w:rsidR="002D7D65">
        <w:rPr>
          <w:rFonts w:ascii="Arial" w:hAnsi="Arial" w:cs="Arial"/>
        </w:rPr>
        <w:t>20</w:t>
      </w:r>
      <w:r>
        <w:rPr>
          <w:rFonts w:ascii="Arial" w:hAnsi="Arial" w:cs="Arial"/>
        </w:rPr>
        <w:t>20/21 remains to be confirmed</w:t>
      </w:r>
    </w:p>
    <w:p w14:paraId="7EFEBCEC" w14:textId="77777777" w:rsidR="00C933A2" w:rsidRDefault="00C933A2" w:rsidP="00C933A2">
      <w:pPr>
        <w:pStyle w:val="ListParagraph"/>
        <w:autoSpaceDE w:val="0"/>
        <w:autoSpaceDN w:val="0"/>
        <w:adjustRightInd w:val="0"/>
        <w:ind w:left="576"/>
        <w:rPr>
          <w:rFonts w:ascii="Arial" w:hAnsi="Arial" w:cs="Arial"/>
        </w:rPr>
      </w:pPr>
    </w:p>
    <w:p w14:paraId="0DA2B04F" w14:textId="20C0D19A" w:rsidR="007F53F2" w:rsidRDefault="007F53F2" w:rsidP="00B05A0F">
      <w:pPr>
        <w:pStyle w:val="ListParagraph"/>
        <w:numPr>
          <w:ilvl w:val="1"/>
          <w:numId w:val="63"/>
        </w:numPr>
        <w:autoSpaceDE w:val="0"/>
        <w:autoSpaceDN w:val="0"/>
        <w:adjustRightInd w:val="0"/>
        <w:rPr>
          <w:rFonts w:ascii="Arial" w:hAnsi="Arial" w:cs="Arial"/>
        </w:rPr>
      </w:pPr>
      <w:r w:rsidRPr="007F53F2">
        <w:rPr>
          <w:rFonts w:ascii="Arial" w:hAnsi="Arial" w:cs="Arial"/>
        </w:rPr>
        <w:t xml:space="preserve">The </w:t>
      </w:r>
      <w:r w:rsidR="00B64F28">
        <w:rPr>
          <w:rFonts w:ascii="Arial" w:hAnsi="Arial" w:cs="Arial"/>
        </w:rPr>
        <w:t xml:space="preserve">‘fair shares’ </w:t>
      </w:r>
      <w:r w:rsidRPr="007F53F2">
        <w:rPr>
          <w:rFonts w:ascii="Arial" w:hAnsi="Arial" w:cs="Arial"/>
        </w:rPr>
        <w:t>allocations at STP</w:t>
      </w:r>
      <w:r w:rsidR="005903DA">
        <w:rPr>
          <w:rFonts w:ascii="Arial" w:hAnsi="Arial" w:cs="Arial"/>
        </w:rPr>
        <w:t>/ICS</w:t>
      </w:r>
      <w:r w:rsidRPr="007F53F2">
        <w:rPr>
          <w:rFonts w:ascii="Arial" w:hAnsi="Arial" w:cs="Arial"/>
        </w:rPr>
        <w:t xml:space="preserve"> level are </w:t>
      </w:r>
      <w:r w:rsidR="00B64F28">
        <w:rPr>
          <w:rFonts w:ascii="Arial" w:hAnsi="Arial" w:cs="Arial"/>
        </w:rPr>
        <w:t xml:space="preserve">derived from the </w:t>
      </w:r>
      <w:r w:rsidR="002D7D65">
        <w:rPr>
          <w:rFonts w:ascii="Arial" w:hAnsi="Arial" w:cs="Arial"/>
        </w:rPr>
        <w:t>20</w:t>
      </w:r>
      <w:r w:rsidR="00B64F28">
        <w:rPr>
          <w:rFonts w:ascii="Arial" w:hAnsi="Arial" w:cs="Arial"/>
        </w:rPr>
        <w:t xml:space="preserve">18/19 CCG </w:t>
      </w:r>
      <w:r w:rsidR="00BF0FF6">
        <w:rPr>
          <w:rFonts w:ascii="Arial" w:hAnsi="Arial" w:cs="Arial"/>
        </w:rPr>
        <w:t xml:space="preserve">projected </w:t>
      </w:r>
      <w:r w:rsidR="00B64F28">
        <w:rPr>
          <w:rFonts w:ascii="Arial" w:hAnsi="Arial" w:cs="Arial"/>
        </w:rPr>
        <w:t xml:space="preserve">weighted </w:t>
      </w:r>
      <w:r w:rsidR="00F11128">
        <w:rPr>
          <w:rFonts w:ascii="Arial" w:hAnsi="Arial" w:cs="Arial"/>
        </w:rPr>
        <w:t xml:space="preserve">population </w:t>
      </w:r>
      <w:r w:rsidR="00981AF6">
        <w:rPr>
          <w:rFonts w:ascii="Arial" w:hAnsi="Arial" w:cs="Arial"/>
        </w:rPr>
        <w:t>numbers</w:t>
      </w:r>
      <w:r w:rsidR="007F10BB">
        <w:rPr>
          <w:rFonts w:ascii="Arial" w:hAnsi="Arial" w:cs="Arial"/>
        </w:rPr>
        <w:t>.</w:t>
      </w:r>
    </w:p>
    <w:p w14:paraId="355282DE" w14:textId="77777777" w:rsidR="007F53F2" w:rsidRPr="00A47963" w:rsidRDefault="007F53F2" w:rsidP="00A01B54">
      <w:pPr>
        <w:pStyle w:val="ListParagraph"/>
        <w:rPr>
          <w:rFonts w:ascii="Arial" w:hAnsi="Arial" w:cs="Arial"/>
        </w:rPr>
      </w:pPr>
    </w:p>
    <w:p w14:paraId="39735305" w14:textId="2208FA2D" w:rsidR="00F13C61" w:rsidRDefault="000F7F18" w:rsidP="00B05A0F">
      <w:pPr>
        <w:pStyle w:val="ListParagraph"/>
        <w:numPr>
          <w:ilvl w:val="1"/>
          <w:numId w:val="63"/>
        </w:numPr>
        <w:autoSpaceDE w:val="0"/>
        <w:autoSpaceDN w:val="0"/>
        <w:adjustRightInd w:val="0"/>
        <w:rPr>
          <w:rFonts w:ascii="Arial" w:hAnsi="Arial" w:cs="Arial"/>
        </w:rPr>
      </w:pPr>
      <w:r>
        <w:rPr>
          <w:rFonts w:ascii="Arial" w:hAnsi="Arial" w:cs="Arial"/>
        </w:rPr>
        <w:t>The purpose of this p</w:t>
      </w:r>
      <w:r w:rsidR="00F13C61">
        <w:rPr>
          <w:rFonts w:ascii="Arial" w:hAnsi="Arial" w:cs="Arial"/>
        </w:rPr>
        <w:t>rospectus is to invite STP</w:t>
      </w:r>
      <w:r w:rsidR="007F7B1C">
        <w:rPr>
          <w:rFonts w:ascii="Arial" w:hAnsi="Arial" w:cs="Arial"/>
        </w:rPr>
        <w:t>/</w:t>
      </w:r>
      <w:r w:rsidR="00ED3EBA">
        <w:rPr>
          <w:rFonts w:ascii="Arial" w:hAnsi="Arial" w:cs="Arial"/>
        </w:rPr>
        <w:t>ICS</w:t>
      </w:r>
      <w:r w:rsidR="00F13C61">
        <w:rPr>
          <w:rFonts w:ascii="Arial" w:hAnsi="Arial" w:cs="Arial"/>
        </w:rPr>
        <w:t xml:space="preserve">s to develop </w:t>
      </w:r>
      <w:r w:rsidR="00CF74B7">
        <w:rPr>
          <w:rFonts w:ascii="Arial" w:hAnsi="Arial" w:cs="Arial"/>
        </w:rPr>
        <w:t xml:space="preserve">an </w:t>
      </w:r>
      <w:r w:rsidR="007F10BB">
        <w:rPr>
          <w:rFonts w:ascii="Arial" w:hAnsi="Arial" w:cs="Arial"/>
        </w:rPr>
        <w:t>I</w:t>
      </w:r>
      <w:r w:rsidR="00F13C61">
        <w:rPr>
          <w:rFonts w:ascii="Arial" w:hAnsi="Arial" w:cs="Arial"/>
        </w:rPr>
        <w:t xml:space="preserve">nvestment </w:t>
      </w:r>
      <w:r w:rsidR="00A15EF2">
        <w:rPr>
          <w:rFonts w:ascii="Arial" w:hAnsi="Arial" w:cs="Arial"/>
        </w:rPr>
        <w:t>Proposal</w:t>
      </w:r>
      <w:r w:rsidR="00CF74B7">
        <w:rPr>
          <w:rFonts w:ascii="Arial" w:hAnsi="Arial" w:cs="Arial"/>
        </w:rPr>
        <w:t xml:space="preserve">, </w:t>
      </w:r>
      <w:r w:rsidR="00981AF6">
        <w:rPr>
          <w:rFonts w:ascii="Arial" w:hAnsi="Arial" w:cs="Arial"/>
        </w:rPr>
        <w:t xml:space="preserve">setting out their </w:t>
      </w:r>
      <w:r w:rsidR="00031AB2">
        <w:rPr>
          <w:rFonts w:ascii="Arial" w:hAnsi="Arial" w:cs="Arial"/>
        </w:rPr>
        <w:t>plans</w:t>
      </w:r>
      <w:r w:rsidR="00981AF6">
        <w:rPr>
          <w:rFonts w:ascii="Arial" w:hAnsi="Arial" w:cs="Arial"/>
        </w:rPr>
        <w:t xml:space="preserve"> for investing their allocation</w:t>
      </w:r>
      <w:r w:rsidR="004E2415">
        <w:rPr>
          <w:rFonts w:ascii="Arial" w:hAnsi="Arial" w:cs="Arial"/>
        </w:rPr>
        <w:t>s</w:t>
      </w:r>
      <w:r w:rsidR="00981AF6">
        <w:rPr>
          <w:rFonts w:ascii="Arial" w:hAnsi="Arial" w:cs="Arial"/>
        </w:rPr>
        <w:t xml:space="preserve">. The overall process that </w:t>
      </w:r>
      <w:r w:rsidR="00243F4F">
        <w:rPr>
          <w:rFonts w:ascii="Arial" w:hAnsi="Arial" w:cs="Arial"/>
        </w:rPr>
        <w:t xml:space="preserve">will </w:t>
      </w:r>
      <w:r w:rsidR="005F16F5">
        <w:rPr>
          <w:rFonts w:ascii="Arial" w:hAnsi="Arial" w:cs="Arial"/>
        </w:rPr>
        <w:t xml:space="preserve">result in funding flowing </w:t>
      </w:r>
      <w:r w:rsidR="00521949">
        <w:rPr>
          <w:rFonts w:ascii="Arial" w:hAnsi="Arial" w:cs="Arial"/>
        </w:rPr>
        <w:t xml:space="preserve">directly </w:t>
      </w:r>
      <w:r w:rsidR="00243F4F">
        <w:rPr>
          <w:rFonts w:ascii="Arial" w:hAnsi="Arial" w:cs="Arial"/>
        </w:rPr>
        <w:t xml:space="preserve">from DHSC </w:t>
      </w:r>
      <w:r w:rsidR="005F16F5">
        <w:rPr>
          <w:rFonts w:ascii="Arial" w:hAnsi="Arial" w:cs="Arial"/>
        </w:rPr>
        <w:t xml:space="preserve">to </w:t>
      </w:r>
      <w:r w:rsidR="003C2761">
        <w:rPr>
          <w:rFonts w:ascii="Arial" w:hAnsi="Arial" w:cs="Arial"/>
        </w:rPr>
        <w:t xml:space="preserve">local </w:t>
      </w:r>
      <w:r w:rsidR="005F16F5">
        <w:rPr>
          <w:rFonts w:ascii="Arial" w:hAnsi="Arial" w:cs="Arial"/>
        </w:rPr>
        <w:t xml:space="preserve">providers to </w:t>
      </w:r>
      <w:r w:rsidR="003C2761">
        <w:rPr>
          <w:rFonts w:ascii="Arial" w:hAnsi="Arial" w:cs="Arial"/>
        </w:rPr>
        <w:t>spend</w:t>
      </w:r>
      <w:r w:rsidR="005F16F5">
        <w:rPr>
          <w:rFonts w:ascii="Arial" w:hAnsi="Arial" w:cs="Arial"/>
        </w:rPr>
        <w:t xml:space="preserve"> </w:t>
      </w:r>
      <w:r w:rsidR="00981AF6">
        <w:rPr>
          <w:rFonts w:ascii="Arial" w:hAnsi="Arial" w:cs="Arial"/>
        </w:rPr>
        <w:t xml:space="preserve">on provider digitisation projects is set out in sections </w:t>
      </w:r>
      <w:r w:rsidR="008771B5">
        <w:rPr>
          <w:rFonts w:ascii="Arial" w:hAnsi="Arial" w:cs="Arial"/>
        </w:rPr>
        <w:t>4, 5 and 6</w:t>
      </w:r>
      <w:r w:rsidR="00F13C61">
        <w:rPr>
          <w:rFonts w:ascii="Arial" w:hAnsi="Arial" w:cs="Arial"/>
        </w:rPr>
        <w:t xml:space="preserve">. </w:t>
      </w:r>
    </w:p>
    <w:p w14:paraId="1844AE87" w14:textId="77777777" w:rsidR="00F13C61" w:rsidRDefault="00F13C61" w:rsidP="00F13C61">
      <w:pPr>
        <w:pStyle w:val="ListParagraph"/>
        <w:autoSpaceDE w:val="0"/>
        <w:autoSpaceDN w:val="0"/>
        <w:adjustRightInd w:val="0"/>
        <w:ind w:left="576"/>
        <w:rPr>
          <w:rFonts w:ascii="Arial" w:hAnsi="Arial" w:cs="Arial"/>
        </w:rPr>
      </w:pPr>
    </w:p>
    <w:p w14:paraId="1DE81E01" w14:textId="6EA22142" w:rsidR="004342F4" w:rsidRDefault="00407A80" w:rsidP="00B05A0F">
      <w:pPr>
        <w:pStyle w:val="ListParagraph"/>
        <w:numPr>
          <w:ilvl w:val="1"/>
          <w:numId w:val="63"/>
        </w:numPr>
        <w:autoSpaceDE w:val="0"/>
        <w:autoSpaceDN w:val="0"/>
        <w:adjustRightInd w:val="0"/>
        <w:rPr>
          <w:rFonts w:ascii="Arial" w:hAnsi="Arial" w:cs="Arial"/>
        </w:rPr>
      </w:pPr>
      <w:r>
        <w:rPr>
          <w:rFonts w:ascii="Arial" w:hAnsi="Arial" w:cs="Arial"/>
        </w:rPr>
        <w:t>The phrase ‘</w:t>
      </w:r>
      <w:r w:rsidR="00C3530E">
        <w:rPr>
          <w:rFonts w:ascii="Arial" w:hAnsi="Arial" w:cs="Arial"/>
        </w:rPr>
        <w:t>Health System</w:t>
      </w:r>
      <w:r w:rsidR="00F11128">
        <w:rPr>
          <w:rFonts w:ascii="Arial" w:hAnsi="Arial" w:cs="Arial"/>
        </w:rPr>
        <w:t xml:space="preserve"> </w:t>
      </w:r>
      <w:r w:rsidR="00C3530E">
        <w:rPr>
          <w:rFonts w:ascii="Arial" w:hAnsi="Arial" w:cs="Arial"/>
        </w:rPr>
        <w:t>L</w:t>
      </w:r>
      <w:r>
        <w:rPr>
          <w:rFonts w:ascii="Arial" w:hAnsi="Arial" w:cs="Arial"/>
        </w:rPr>
        <w:t xml:space="preserve">ed’ signifies that </w:t>
      </w:r>
      <w:r w:rsidR="00E335C0">
        <w:rPr>
          <w:rFonts w:ascii="Arial" w:hAnsi="Arial" w:cs="Arial"/>
        </w:rPr>
        <w:t xml:space="preserve">the </w:t>
      </w:r>
      <w:r>
        <w:rPr>
          <w:rFonts w:ascii="Arial" w:hAnsi="Arial" w:cs="Arial"/>
        </w:rPr>
        <w:t xml:space="preserve">prioritisation of </w:t>
      </w:r>
      <w:r w:rsidR="00E335C0">
        <w:rPr>
          <w:rFonts w:ascii="Arial" w:hAnsi="Arial" w:cs="Arial"/>
        </w:rPr>
        <w:t>projects</w:t>
      </w:r>
      <w:r>
        <w:rPr>
          <w:rFonts w:ascii="Arial" w:hAnsi="Arial" w:cs="Arial"/>
        </w:rPr>
        <w:t xml:space="preserve"> to receive investment </w:t>
      </w:r>
      <w:r w:rsidR="00E335C0">
        <w:rPr>
          <w:rFonts w:ascii="Arial" w:hAnsi="Arial" w:cs="Arial"/>
        </w:rPr>
        <w:t>should be</w:t>
      </w:r>
      <w:r>
        <w:rPr>
          <w:rFonts w:ascii="Arial" w:hAnsi="Arial" w:cs="Arial"/>
        </w:rPr>
        <w:t xml:space="preserve"> undertaken at an STP </w:t>
      </w:r>
      <w:r w:rsidR="00AC3E56">
        <w:rPr>
          <w:rFonts w:ascii="Arial" w:hAnsi="Arial" w:cs="Arial"/>
        </w:rPr>
        <w:t xml:space="preserve">(or ICS) </w:t>
      </w:r>
      <w:r>
        <w:rPr>
          <w:rFonts w:ascii="Arial" w:hAnsi="Arial" w:cs="Arial"/>
        </w:rPr>
        <w:t>level. Although the funding has been allocated to STP</w:t>
      </w:r>
      <w:r w:rsidR="00ED3EBA">
        <w:rPr>
          <w:rFonts w:ascii="Arial" w:hAnsi="Arial" w:cs="Arial"/>
        </w:rPr>
        <w:t>/ICS</w:t>
      </w:r>
      <w:r>
        <w:rPr>
          <w:rFonts w:ascii="Arial" w:hAnsi="Arial" w:cs="Arial"/>
        </w:rPr>
        <w:t xml:space="preserve">s on a </w:t>
      </w:r>
      <w:r w:rsidR="004342F4">
        <w:rPr>
          <w:rFonts w:ascii="Arial" w:hAnsi="Arial" w:cs="Arial"/>
        </w:rPr>
        <w:t xml:space="preserve">‘fair share’ basis, </w:t>
      </w:r>
      <w:r w:rsidR="004E42FE">
        <w:rPr>
          <w:rFonts w:ascii="Arial" w:hAnsi="Arial" w:cs="Arial"/>
        </w:rPr>
        <w:t xml:space="preserve">the subsequent allocation to providers is expected to follow a different principle. </w:t>
      </w:r>
      <w:r w:rsidR="004342F4">
        <w:rPr>
          <w:rFonts w:ascii="Arial" w:hAnsi="Arial" w:cs="Arial"/>
        </w:rPr>
        <w:t>STP</w:t>
      </w:r>
      <w:r w:rsidR="00B05A0F">
        <w:rPr>
          <w:rFonts w:ascii="Arial" w:hAnsi="Arial" w:cs="Arial"/>
        </w:rPr>
        <w:t>/ICS</w:t>
      </w:r>
      <w:r w:rsidR="004342F4">
        <w:rPr>
          <w:rFonts w:ascii="Arial" w:hAnsi="Arial" w:cs="Arial"/>
        </w:rPr>
        <w:t xml:space="preserve">s are expected to </w:t>
      </w:r>
      <w:r w:rsidR="00D467E1">
        <w:rPr>
          <w:rFonts w:ascii="Arial" w:hAnsi="Arial" w:cs="Arial"/>
        </w:rPr>
        <w:t>facilitate local stakeholders to undertake a genuine prioritisation process,</w:t>
      </w:r>
      <w:r w:rsidR="004342F4">
        <w:rPr>
          <w:rFonts w:ascii="Arial" w:hAnsi="Arial" w:cs="Arial"/>
        </w:rPr>
        <w:t xml:space="preserve"> identifying how </w:t>
      </w:r>
      <w:r w:rsidR="00D467E1">
        <w:rPr>
          <w:rFonts w:ascii="Arial" w:hAnsi="Arial" w:cs="Arial"/>
        </w:rPr>
        <w:t xml:space="preserve">the resources </w:t>
      </w:r>
      <w:r w:rsidR="004342F4">
        <w:rPr>
          <w:rFonts w:ascii="Arial" w:hAnsi="Arial" w:cs="Arial"/>
        </w:rPr>
        <w:t>should be distributed across providers in the footprint, informed by local STP</w:t>
      </w:r>
      <w:r w:rsidR="007F7B1C">
        <w:rPr>
          <w:rFonts w:ascii="Arial" w:hAnsi="Arial" w:cs="Arial"/>
        </w:rPr>
        <w:t>/ICS</w:t>
      </w:r>
      <w:r w:rsidR="004342F4">
        <w:rPr>
          <w:rFonts w:ascii="Arial" w:hAnsi="Arial" w:cs="Arial"/>
        </w:rPr>
        <w:t xml:space="preserve"> priorities</w:t>
      </w:r>
      <w:r w:rsidR="00303F97">
        <w:rPr>
          <w:rFonts w:ascii="Arial" w:hAnsi="Arial" w:cs="Arial"/>
        </w:rPr>
        <w:t xml:space="preserve"> and digital maturity ambitions</w:t>
      </w:r>
      <w:r w:rsidR="004342F4">
        <w:rPr>
          <w:rFonts w:ascii="Arial" w:hAnsi="Arial" w:cs="Arial"/>
        </w:rPr>
        <w:t xml:space="preserve">. Such local prioritisation will occur within a set of </w:t>
      </w:r>
      <w:r w:rsidR="00E5332C">
        <w:rPr>
          <w:rFonts w:ascii="Arial" w:hAnsi="Arial" w:cs="Arial"/>
        </w:rPr>
        <w:t xml:space="preserve">national </w:t>
      </w:r>
      <w:r w:rsidR="004342F4">
        <w:rPr>
          <w:rFonts w:ascii="Arial" w:hAnsi="Arial" w:cs="Arial"/>
        </w:rPr>
        <w:t xml:space="preserve">eligibility criteria (see section </w:t>
      </w:r>
      <w:r w:rsidR="008771B5">
        <w:rPr>
          <w:rFonts w:ascii="Arial" w:hAnsi="Arial" w:cs="Arial"/>
        </w:rPr>
        <w:t>3</w:t>
      </w:r>
      <w:r w:rsidR="004342F4">
        <w:rPr>
          <w:rFonts w:ascii="Arial" w:hAnsi="Arial" w:cs="Arial"/>
        </w:rPr>
        <w:t>)</w:t>
      </w:r>
      <w:r w:rsidR="00E5332C">
        <w:rPr>
          <w:rFonts w:ascii="Arial" w:hAnsi="Arial" w:cs="Arial"/>
        </w:rPr>
        <w:t>,</w:t>
      </w:r>
      <w:r w:rsidR="004342F4">
        <w:rPr>
          <w:rFonts w:ascii="Arial" w:hAnsi="Arial" w:cs="Arial"/>
        </w:rPr>
        <w:t xml:space="preserve"> </w:t>
      </w:r>
      <w:r w:rsidR="00644166">
        <w:rPr>
          <w:rFonts w:ascii="Arial" w:hAnsi="Arial" w:cs="Arial"/>
        </w:rPr>
        <w:t xml:space="preserve">aligned to </w:t>
      </w:r>
      <w:r w:rsidR="00B260BF">
        <w:rPr>
          <w:rFonts w:ascii="Arial" w:hAnsi="Arial" w:cs="Arial"/>
        </w:rPr>
        <w:t xml:space="preserve">a set of </w:t>
      </w:r>
      <w:r w:rsidR="00777687">
        <w:rPr>
          <w:rFonts w:ascii="Arial" w:hAnsi="Arial" w:cs="Arial"/>
        </w:rPr>
        <w:t xml:space="preserve">national prioritisation </w:t>
      </w:r>
      <w:r w:rsidR="00B260BF">
        <w:rPr>
          <w:rFonts w:ascii="Arial" w:hAnsi="Arial" w:cs="Arial"/>
        </w:rPr>
        <w:t xml:space="preserve">guidelines (see section </w:t>
      </w:r>
      <w:r w:rsidR="008771B5">
        <w:rPr>
          <w:rFonts w:ascii="Arial" w:hAnsi="Arial" w:cs="Arial"/>
        </w:rPr>
        <w:t>4</w:t>
      </w:r>
      <w:r w:rsidR="00B260BF">
        <w:rPr>
          <w:rFonts w:ascii="Arial" w:hAnsi="Arial" w:cs="Arial"/>
        </w:rPr>
        <w:t>)</w:t>
      </w:r>
      <w:r w:rsidR="00303F97">
        <w:rPr>
          <w:rFonts w:ascii="Arial" w:hAnsi="Arial" w:cs="Arial"/>
        </w:rPr>
        <w:t xml:space="preserve">, informed by local and national intelligence (see section </w:t>
      </w:r>
      <w:r w:rsidR="008771B5">
        <w:rPr>
          <w:rFonts w:ascii="Arial" w:hAnsi="Arial" w:cs="Arial"/>
        </w:rPr>
        <w:t>5</w:t>
      </w:r>
      <w:r w:rsidR="00303F97">
        <w:rPr>
          <w:rFonts w:ascii="Arial" w:hAnsi="Arial" w:cs="Arial"/>
        </w:rPr>
        <w:t>.</w:t>
      </w:r>
      <w:r w:rsidR="00E23EBE">
        <w:rPr>
          <w:rFonts w:ascii="Arial" w:hAnsi="Arial" w:cs="Arial"/>
        </w:rPr>
        <w:t>6</w:t>
      </w:r>
      <w:r w:rsidR="00303F97">
        <w:rPr>
          <w:rFonts w:ascii="Arial" w:hAnsi="Arial" w:cs="Arial"/>
        </w:rPr>
        <w:t>)</w:t>
      </w:r>
      <w:r w:rsidR="004342F4">
        <w:rPr>
          <w:rFonts w:ascii="Arial" w:hAnsi="Arial" w:cs="Arial"/>
        </w:rPr>
        <w:t xml:space="preserve">. </w:t>
      </w:r>
    </w:p>
    <w:p w14:paraId="6CD3BF3D" w14:textId="77777777" w:rsidR="004342F4" w:rsidRPr="004342F4" w:rsidRDefault="004342F4" w:rsidP="004342F4">
      <w:pPr>
        <w:pStyle w:val="ListParagraph"/>
        <w:rPr>
          <w:rFonts w:ascii="Arial" w:hAnsi="Arial" w:cs="Arial"/>
        </w:rPr>
      </w:pPr>
    </w:p>
    <w:p w14:paraId="125C6DD1" w14:textId="77777777" w:rsidR="00E335C0" w:rsidRDefault="00E335C0" w:rsidP="00B05A0F">
      <w:pPr>
        <w:pStyle w:val="ListParagraph"/>
        <w:numPr>
          <w:ilvl w:val="1"/>
          <w:numId w:val="63"/>
        </w:numPr>
        <w:autoSpaceDE w:val="0"/>
        <w:autoSpaceDN w:val="0"/>
        <w:adjustRightInd w:val="0"/>
        <w:rPr>
          <w:rFonts w:ascii="Arial" w:hAnsi="Arial" w:cs="Arial"/>
        </w:rPr>
      </w:pPr>
      <w:r>
        <w:rPr>
          <w:rFonts w:ascii="Arial" w:hAnsi="Arial" w:cs="Arial"/>
        </w:rPr>
        <w:t>Prioritisation will result in STP</w:t>
      </w:r>
      <w:r w:rsidR="008803FF">
        <w:rPr>
          <w:rFonts w:ascii="Arial" w:hAnsi="Arial" w:cs="Arial"/>
        </w:rPr>
        <w:t>/ICS</w:t>
      </w:r>
      <w:r>
        <w:rPr>
          <w:rFonts w:ascii="Arial" w:hAnsi="Arial" w:cs="Arial"/>
        </w:rPr>
        <w:t xml:space="preserve"> </w:t>
      </w:r>
      <w:r w:rsidR="006113A3">
        <w:rPr>
          <w:rFonts w:ascii="Arial" w:hAnsi="Arial" w:cs="Arial"/>
        </w:rPr>
        <w:t xml:space="preserve">portfolios of </w:t>
      </w:r>
      <w:r w:rsidR="00777687">
        <w:rPr>
          <w:rFonts w:ascii="Arial" w:hAnsi="Arial" w:cs="Arial"/>
        </w:rPr>
        <w:t xml:space="preserve">provider digitisation </w:t>
      </w:r>
      <w:r w:rsidR="006113A3">
        <w:rPr>
          <w:rFonts w:ascii="Arial" w:hAnsi="Arial" w:cs="Arial"/>
        </w:rPr>
        <w:t>projects</w:t>
      </w:r>
      <w:r>
        <w:rPr>
          <w:rFonts w:ascii="Arial" w:hAnsi="Arial" w:cs="Arial"/>
        </w:rPr>
        <w:t xml:space="preserve"> </w:t>
      </w:r>
      <w:r w:rsidR="006113A3">
        <w:rPr>
          <w:rFonts w:ascii="Arial" w:hAnsi="Arial" w:cs="Arial"/>
        </w:rPr>
        <w:t xml:space="preserve">that utilise </w:t>
      </w:r>
      <w:r w:rsidR="000B5725">
        <w:rPr>
          <w:rFonts w:ascii="Arial" w:hAnsi="Arial" w:cs="Arial"/>
        </w:rPr>
        <w:t>this</w:t>
      </w:r>
      <w:r w:rsidR="006113A3">
        <w:rPr>
          <w:rFonts w:ascii="Arial" w:hAnsi="Arial" w:cs="Arial"/>
        </w:rPr>
        <w:t xml:space="preserve"> funding</w:t>
      </w:r>
      <w:r w:rsidR="002E6CD4">
        <w:rPr>
          <w:rFonts w:ascii="Arial" w:hAnsi="Arial" w:cs="Arial"/>
        </w:rPr>
        <w:t xml:space="preserve">, potentially alongside other </w:t>
      </w:r>
      <w:r w:rsidR="00B77F1D">
        <w:rPr>
          <w:rFonts w:ascii="Arial" w:hAnsi="Arial" w:cs="Arial"/>
        </w:rPr>
        <w:t xml:space="preserve">national and </w:t>
      </w:r>
      <w:r w:rsidR="002E6CD4">
        <w:rPr>
          <w:rFonts w:ascii="Arial" w:hAnsi="Arial" w:cs="Arial"/>
        </w:rPr>
        <w:t>local funding</w:t>
      </w:r>
      <w:r>
        <w:rPr>
          <w:rFonts w:ascii="Arial" w:hAnsi="Arial" w:cs="Arial"/>
        </w:rPr>
        <w:t xml:space="preserve">. </w:t>
      </w:r>
      <w:r w:rsidR="002E6CD4">
        <w:rPr>
          <w:rFonts w:ascii="Arial" w:hAnsi="Arial" w:cs="Arial"/>
        </w:rPr>
        <w:t xml:space="preserve">(Indeed, as the initial funding is capital only, </w:t>
      </w:r>
      <w:r w:rsidR="002E6CD4" w:rsidRPr="00ED1AB4">
        <w:rPr>
          <w:rFonts w:ascii="Arial" w:hAnsi="Arial" w:cs="Arial"/>
        </w:rPr>
        <w:t xml:space="preserve">revenue </w:t>
      </w:r>
      <w:r w:rsidR="002E6CD4">
        <w:rPr>
          <w:rFonts w:ascii="Arial" w:hAnsi="Arial" w:cs="Arial"/>
        </w:rPr>
        <w:t>requirements</w:t>
      </w:r>
      <w:r w:rsidR="002E6CD4" w:rsidRPr="00ED1AB4">
        <w:rPr>
          <w:rFonts w:ascii="Arial" w:hAnsi="Arial" w:cs="Arial"/>
        </w:rPr>
        <w:t xml:space="preserve"> for </w:t>
      </w:r>
      <w:r w:rsidR="00644166">
        <w:rPr>
          <w:rFonts w:ascii="Arial" w:hAnsi="Arial" w:cs="Arial"/>
        </w:rPr>
        <w:t xml:space="preserve">early </w:t>
      </w:r>
      <w:r w:rsidR="002E6CD4" w:rsidRPr="00ED1AB4">
        <w:rPr>
          <w:rFonts w:ascii="Arial" w:hAnsi="Arial" w:cs="Arial"/>
        </w:rPr>
        <w:t xml:space="preserve">projects will need to </w:t>
      </w:r>
      <w:r w:rsidR="002E6CD4">
        <w:rPr>
          <w:rFonts w:ascii="Arial" w:hAnsi="Arial" w:cs="Arial"/>
        </w:rPr>
        <w:t>be funded</w:t>
      </w:r>
      <w:r w:rsidR="002E6CD4" w:rsidRPr="00ED1AB4">
        <w:rPr>
          <w:rFonts w:ascii="Arial" w:hAnsi="Arial" w:cs="Arial"/>
        </w:rPr>
        <w:t xml:space="preserve"> from an alternative source</w:t>
      </w:r>
      <w:r w:rsidR="002E6CD4">
        <w:rPr>
          <w:rFonts w:ascii="Arial" w:hAnsi="Arial" w:cs="Arial"/>
        </w:rPr>
        <w:t>)</w:t>
      </w:r>
      <w:r w:rsidR="002E6CD4" w:rsidRPr="00ED1AB4">
        <w:rPr>
          <w:rFonts w:ascii="Arial" w:hAnsi="Arial" w:cs="Arial"/>
        </w:rPr>
        <w:t>.</w:t>
      </w:r>
      <w:r w:rsidR="002E6CD4">
        <w:rPr>
          <w:rFonts w:ascii="Arial" w:hAnsi="Arial" w:cs="Arial"/>
        </w:rPr>
        <w:t xml:space="preserve"> </w:t>
      </w:r>
      <w:r>
        <w:rPr>
          <w:rFonts w:ascii="Arial" w:hAnsi="Arial" w:cs="Arial"/>
        </w:rPr>
        <w:t>STP</w:t>
      </w:r>
      <w:r w:rsidR="007F7B1C">
        <w:rPr>
          <w:rFonts w:ascii="Arial" w:hAnsi="Arial" w:cs="Arial"/>
        </w:rPr>
        <w:t>/ICS</w:t>
      </w:r>
      <w:r>
        <w:rPr>
          <w:rFonts w:ascii="Arial" w:hAnsi="Arial" w:cs="Arial"/>
        </w:rPr>
        <w:t xml:space="preserve">s will have discretion on the number of projects and number of providers </w:t>
      </w:r>
      <w:r w:rsidR="004455D4">
        <w:rPr>
          <w:rFonts w:ascii="Arial" w:hAnsi="Arial" w:cs="Arial"/>
        </w:rPr>
        <w:t xml:space="preserve">represented </w:t>
      </w:r>
      <w:r>
        <w:rPr>
          <w:rFonts w:ascii="Arial" w:hAnsi="Arial" w:cs="Arial"/>
        </w:rPr>
        <w:t xml:space="preserve">in their </w:t>
      </w:r>
      <w:r w:rsidR="001F7FBA">
        <w:rPr>
          <w:rFonts w:ascii="Arial" w:hAnsi="Arial" w:cs="Arial"/>
        </w:rPr>
        <w:t>portfolios</w:t>
      </w:r>
      <w:r>
        <w:rPr>
          <w:rFonts w:ascii="Arial" w:hAnsi="Arial" w:cs="Arial"/>
        </w:rPr>
        <w:t>.</w:t>
      </w:r>
      <w:r w:rsidR="00B464F8">
        <w:rPr>
          <w:rFonts w:ascii="Arial" w:hAnsi="Arial" w:cs="Arial"/>
        </w:rPr>
        <w:t xml:space="preserve"> </w:t>
      </w:r>
    </w:p>
    <w:p w14:paraId="7EED98B4" w14:textId="77777777" w:rsidR="00CA028B" w:rsidRPr="00CA028B" w:rsidRDefault="00CA028B" w:rsidP="00CA028B">
      <w:pPr>
        <w:pStyle w:val="ListParagraph"/>
        <w:rPr>
          <w:rFonts w:ascii="Arial" w:hAnsi="Arial" w:cs="Arial"/>
        </w:rPr>
      </w:pPr>
    </w:p>
    <w:p w14:paraId="76C40F12" w14:textId="77777777" w:rsidR="00852A8D" w:rsidRDefault="00852A8D">
      <w:pPr>
        <w:rPr>
          <w:rFonts w:ascii="Arial" w:eastAsia="Times New Roman" w:hAnsi="Arial" w:cs="Arial"/>
          <w:sz w:val="24"/>
          <w:szCs w:val="24"/>
          <w:lang w:eastAsia="en-GB"/>
        </w:rPr>
      </w:pPr>
      <w:r>
        <w:rPr>
          <w:rFonts w:ascii="Arial" w:hAnsi="Arial" w:cs="Arial"/>
        </w:rPr>
        <w:br w:type="page"/>
      </w:r>
    </w:p>
    <w:p w14:paraId="61498734" w14:textId="00C73EE2" w:rsidR="00CA028B" w:rsidRDefault="00CA028B" w:rsidP="00B05A0F">
      <w:pPr>
        <w:pStyle w:val="ListParagraph"/>
        <w:numPr>
          <w:ilvl w:val="1"/>
          <w:numId w:val="63"/>
        </w:numPr>
        <w:autoSpaceDE w:val="0"/>
        <w:autoSpaceDN w:val="0"/>
        <w:adjustRightInd w:val="0"/>
        <w:rPr>
          <w:rFonts w:ascii="Arial" w:hAnsi="Arial" w:cs="Arial"/>
        </w:rPr>
      </w:pPr>
      <w:r>
        <w:rPr>
          <w:rFonts w:ascii="Arial" w:hAnsi="Arial" w:cs="Arial"/>
        </w:rPr>
        <w:lastRenderedPageBreak/>
        <w:t>STP</w:t>
      </w:r>
      <w:r w:rsidR="0008525A">
        <w:rPr>
          <w:rFonts w:ascii="Arial" w:hAnsi="Arial" w:cs="Arial"/>
        </w:rPr>
        <w:t>/ICS</w:t>
      </w:r>
      <w:r>
        <w:rPr>
          <w:rFonts w:ascii="Arial" w:hAnsi="Arial" w:cs="Arial"/>
        </w:rPr>
        <w:t>s should have the following in place early:</w:t>
      </w:r>
    </w:p>
    <w:p w14:paraId="5CD4BC04" w14:textId="3A56BF94" w:rsidR="00CA028B" w:rsidRDefault="00CA028B" w:rsidP="00CA028B">
      <w:pPr>
        <w:pStyle w:val="ListParagraph"/>
        <w:numPr>
          <w:ilvl w:val="0"/>
          <w:numId w:val="48"/>
        </w:numPr>
        <w:autoSpaceDE w:val="0"/>
        <w:autoSpaceDN w:val="0"/>
        <w:adjustRightInd w:val="0"/>
        <w:ind w:left="1276"/>
        <w:rPr>
          <w:rFonts w:ascii="Arial" w:hAnsi="Arial" w:cs="Arial"/>
        </w:rPr>
      </w:pPr>
      <w:r>
        <w:rPr>
          <w:rFonts w:ascii="Arial" w:hAnsi="Arial" w:cs="Arial"/>
        </w:rPr>
        <w:t>An individual who is accountable to the STP</w:t>
      </w:r>
      <w:r w:rsidR="00B05A0F">
        <w:rPr>
          <w:rFonts w:ascii="Arial" w:hAnsi="Arial" w:cs="Arial"/>
        </w:rPr>
        <w:t>/ICS</w:t>
      </w:r>
      <w:r>
        <w:rPr>
          <w:rFonts w:ascii="Arial" w:hAnsi="Arial" w:cs="Arial"/>
        </w:rPr>
        <w:t xml:space="preserve"> leader for the Investment </w:t>
      </w:r>
      <w:r w:rsidR="00A15EF2">
        <w:rPr>
          <w:rFonts w:ascii="Arial" w:hAnsi="Arial" w:cs="Arial"/>
        </w:rPr>
        <w:t xml:space="preserve">Proposal </w:t>
      </w:r>
      <w:r>
        <w:rPr>
          <w:rFonts w:ascii="Arial" w:hAnsi="Arial" w:cs="Arial"/>
        </w:rPr>
        <w:t>– this may be someone who has already been given the system leadership role for digital for the STP</w:t>
      </w:r>
      <w:r w:rsidR="00B05A0F">
        <w:rPr>
          <w:rFonts w:ascii="Arial" w:hAnsi="Arial" w:cs="Arial"/>
        </w:rPr>
        <w:t>/ICS</w:t>
      </w:r>
    </w:p>
    <w:p w14:paraId="683DD565" w14:textId="51945C50" w:rsidR="00BD59EF" w:rsidRPr="00E15B97" w:rsidRDefault="00BD59EF" w:rsidP="00BD59EF">
      <w:pPr>
        <w:pStyle w:val="ListParagraph"/>
        <w:numPr>
          <w:ilvl w:val="0"/>
          <w:numId w:val="48"/>
        </w:numPr>
        <w:autoSpaceDE w:val="0"/>
        <w:autoSpaceDN w:val="0"/>
        <w:adjustRightInd w:val="0"/>
        <w:ind w:left="1276"/>
        <w:rPr>
          <w:rFonts w:ascii="Arial" w:hAnsi="Arial" w:cs="Arial"/>
        </w:rPr>
      </w:pPr>
      <w:r>
        <w:rPr>
          <w:rFonts w:ascii="Arial" w:hAnsi="Arial" w:cs="Arial"/>
        </w:rPr>
        <w:t xml:space="preserve">A governance mechanism to agree the priorities and Investment </w:t>
      </w:r>
      <w:r w:rsidR="00A15EF2">
        <w:rPr>
          <w:rFonts w:ascii="Arial" w:hAnsi="Arial" w:cs="Arial"/>
        </w:rPr>
        <w:t xml:space="preserve">Proposal </w:t>
      </w:r>
      <w:r>
        <w:rPr>
          <w:rFonts w:ascii="Arial" w:hAnsi="Arial" w:cs="Arial"/>
        </w:rPr>
        <w:t xml:space="preserve">that engages the relevant stakeholders (see section </w:t>
      </w:r>
      <w:r w:rsidR="007F7B1C">
        <w:rPr>
          <w:rFonts w:ascii="Arial" w:hAnsi="Arial" w:cs="Arial"/>
        </w:rPr>
        <w:t>4</w:t>
      </w:r>
      <w:r>
        <w:rPr>
          <w:rFonts w:ascii="Arial" w:hAnsi="Arial" w:cs="Arial"/>
        </w:rPr>
        <w:t>.1</w:t>
      </w:r>
      <w:r w:rsidR="00B01DDE">
        <w:rPr>
          <w:rFonts w:ascii="Arial" w:hAnsi="Arial" w:cs="Arial"/>
        </w:rPr>
        <w:t>2</w:t>
      </w:r>
      <w:r>
        <w:rPr>
          <w:rFonts w:ascii="Arial" w:hAnsi="Arial" w:cs="Arial"/>
        </w:rPr>
        <w:t xml:space="preserve">) while still meeting the submission deadlines (see section </w:t>
      </w:r>
      <w:r w:rsidR="007F7B1C">
        <w:rPr>
          <w:rFonts w:ascii="Arial" w:hAnsi="Arial" w:cs="Arial"/>
        </w:rPr>
        <w:t>5</w:t>
      </w:r>
      <w:r>
        <w:rPr>
          <w:rFonts w:ascii="Arial" w:hAnsi="Arial" w:cs="Arial"/>
        </w:rPr>
        <w:t>.1)</w:t>
      </w:r>
      <w:r w:rsidR="0024112C">
        <w:rPr>
          <w:rFonts w:ascii="Arial" w:hAnsi="Arial" w:cs="Arial"/>
        </w:rPr>
        <w:t xml:space="preserve"> – this should include representation from the NHS</w:t>
      </w:r>
      <w:r w:rsidR="00742982">
        <w:rPr>
          <w:rFonts w:ascii="Arial" w:hAnsi="Arial" w:cs="Arial"/>
        </w:rPr>
        <w:t xml:space="preserve"> </w:t>
      </w:r>
      <w:r w:rsidR="0024112C">
        <w:rPr>
          <w:rFonts w:ascii="Arial" w:hAnsi="Arial" w:cs="Arial"/>
        </w:rPr>
        <w:t>E</w:t>
      </w:r>
      <w:r w:rsidR="00742982">
        <w:rPr>
          <w:rFonts w:ascii="Arial" w:hAnsi="Arial" w:cs="Arial"/>
        </w:rPr>
        <w:t>ngland</w:t>
      </w:r>
      <w:r w:rsidR="0024112C">
        <w:rPr>
          <w:rFonts w:ascii="Arial" w:hAnsi="Arial" w:cs="Arial"/>
        </w:rPr>
        <w:t xml:space="preserve"> regional team</w:t>
      </w:r>
    </w:p>
    <w:p w14:paraId="27306BC5" w14:textId="77777777" w:rsidR="00CA028B" w:rsidRDefault="00CA028B" w:rsidP="00CA028B">
      <w:pPr>
        <w:pStyle w:val="ListParagraph"/>
        <w:numPr>
          <w:ilvl w:val="0"/>
          <w:numId w:val="48"/>
        </w:numPr>
        <w:autoSpaceDE w:val="0"/>
        <w:autoSpaceDN w:val="0"/>
        <w:adjustRightInd w:val="0"/>
        <w:ind w:left="1276"/>
        <w:rPr>
          <w:rFonts w:ascii="Arial" w:hAnsi="Arial" w:cs="Arial"/>
        </w:rPr>
      </w:pPr>
      <w:r>
        <w:rPr>
          <w:rFonts w:ascii="Arial" w:hAnsi="Arial" w:cs="Arial"/>
        </w:rPr>
        <w:t xml:space="preserve">A process to prioritise projects </w:t>
      </w:r>
      <w:r w:rsidR="00BE1B50">
        <w:rPr>
          <w:rFonts w:ascii="Arial" w:hAnsi="Arial" w:cs="Arial"/>
        </w:rPr>
        <w:t xml:space="preserve">that aligns with the guidelines </w:t>
      </w:r>
      <w:r>
        <w:rPr>
          <w:rFonts w:ascii="Arial" w:hAnsi="Arial" w:cs="Arial"/>
        </w:rPr>
        <w:t xml:space="preserve">(see section </w:t>
      </w:r>
      <w:r w:rsidR="008771B5">
        <w:rPr>
          <w:rFonts w:ascii="Arial" w:hAnsi="Arial" w:cs="Arial"/>
        </w:rPr>
        <w:t>4</w:t>
      </w:r>
      <w:r>
        <w:rPr>
          <w:rFonts w:ascii="Arial" w:hAnsi="Arial" w:cs="Arial"/>
        </w:rPr>
        <w:t>)</w:t>
      </w:r>
    </w:p>
    <w:p w14:paraId="07A32383" w14:textId="1ADDF4F1" w:rsidR="00CA028B" w:rsidRDefault="00CA028B" w:rsidP="00CA028B">
      <w:pPr>
        <w:pStyle w:val="ListParagraph"/>
        <w:numPr>
          <w:ilvl w:val="0"/>
          <w:numId w:val="48"/>
        </w:numPr>
        <w:autoSpaceDE w:val="0"/>
        <w:autoSpaceDN w:val="0"/>
        <w:adjustRightInd w:val="0"/>
        <w:ind w:left="1276"/>
        <w:rPr>
          <w:rFonts w:ascii="Arial" w:hAnsi="Arial" w:cs="Arial"/>
        </w:rPr>
      </w:pPr>
      <w:r>
        <w:rPr>
          <w:rFonts w:ascii="Arial" w:hAnsi="Arial" w:cs="Arial"/>
        </w:rPr>
        <w:t xml:space="preserve">A ‘longlist’ of candidate projects (see section </w:t>
      </w:r>
      <w:r w:rsidR="007F7B1C">
        <w:rPr>
          <w:rFonts w:ascii="Arial" w:hAnsi="Arial" w:cs="Arial"/>
        </w:rPr>
        <w:t>4</w:t>
      </w:r>
      <w:r>
        <w:rPr>
          <w:rFonts w:ascii="Arial" w:hAnsi="Arial" w:cs="Arial"/>
        </w:rPr>
        <w:t>.1)</w:t>
      </w:r>
      <w:r w:rsidR="00742982">
        <w:rPr>
          <w:rFonts w:ascii="Arial" w:hAnsi="Arial" w:cs="Arial"/>
        </w:rPr>
        <w:t>.</w:t>
      </w:r>
    </w:p>
    <w:p w14:paraId="1895FBE2" w14:textId="77777777" w:rsidR="00CA028B" w:rsidRPr="00CA028B" w:rsidRDefault="00CA028B" w:rsidP="00CA028B">
      <w:pPr>
        <w:autoSpaceDE w:val="0"/>
        <w:autoSpaceDN w:val="0"/>
        <w:adjustRightInd w:val="0"/>
        <w:rPr>
          <w:rFonts w:ascii="Arial" w:hAnsi="Arial" w:cs="Arial"/>
        </w:rPr>
      </w:pPr>
    </w:p>
    <w:p w14:paraId="4CECD5C8" w14:textId="77777777" w:rsidR="00644166" w:rsidRPr="00644166" w:rsidRDefault="00644166" w:rsidP="00644166">
      <w:pPr>
        <w:pStyle w:val="ListParagraph"/>
        <w:rPr>
          <w:rFonts w:ascii="Arial" w:hAnsi="Arial" w:cs="Arial"/>
        </w:rPr>
      </w:pPr>
    </w:p>
    <w:p w14:paraId="34D23AD7" w14:textId="77777777" w:rsidR="00E335C0" w:rsidRPr="00E335C0" w:rsidRDefault="00E335C0" w:rsidP="00E335C0">
      <w:pPr>
        <w:pStyle w:val="ListParagraph"/>
        <w:rPr>
          <w:rFonts w:ascii="Arial" w:hAnsi="Arial" w:cs="Arial"/>
        </w:rPr>
      </w:pPr>
    </w:p>
    <w:p w14:paraId="00281424" w14:textId="77777777" w:rsidR="00B119A0" w:rsidRPr="00B119A0" w:rsidRDefault="00B119A0" w:rsidP="00B119A0">
      <w:pPr>
        <w:pStyle w:val="ListParagraph"/>
        <w:rPr>
          <w:rFonts w:ascii="Arial" w:hAnsi="Arial" w:cs="Arial"/>
        </w:rPr>
      </w:pPr>
    </w:p>
    <w:p w14:paraId="1C9947E0" w14:textId="77777777" w:rsidR="00E5332C" w:rsidRDefault="00E5332C">
      <w:pPr>
        <w:rPr>
          <w:rFonts w:ascii="Arial" w:eastAsia="Times New Roman" w:hAnsi="Arial" w:cs="Arial"/>
          <w:b/>
          <w:bCs/>
          <w:color w:val="0072C6"/>
          <w:kern w:val="32"/>
          <w:sz w:val="32"/>
          <w:szCs w:val="32"/>
        </w:rPr>
      </w:pPr>
      <w:r>
        <w:rPr>
          <w:rFonts w:ascii="Arial" w:eastAsia="Times New Roman" w:hAnsi="Arial" w:cs="Arial"/>
          <w:b/>
          <w:bCs/>
          <w:color w:val="0072C6"/>
          <w:kern w:val="32"/>
          <w:sz w:val="32"/>
          <w:szCs w:val="32"/>
        </w:rPr>
        <w:br w:type="page"/>
      </w:r>
    </w:p>
    <w:p w14:paraId="3F6728F4" w14:textId="77777777" w:rsidR="00B119A0" w:rsidRPr="00932C88" w:rsidRDefault="00B119A0" w:rsidP="00B05A0F">
      <w:pPr>
        <w:numPr>
          <w:ilvl w:val="0"/>
          <w:numId w:val="63"/>
        </w:numPr>
        <w:spacing w:after="0" w:line="240" w:lineRule="auto"/>
        <w:outlineLvl w:val="0"/>
        <w:rPr>
          <w:rFonts w:ascii="Arial" w:eastAsia="Times New Roman" w:hAnsi="Arial" w:cs="Arial"/>
          <w:b/>
          <w:bCs/>
          <w:color w:val="0072C6"/>
          <w:kern w:val="32"/>
          <w:sz w:val="28"/>
          <w:szCs w:val="32"/>
        </w:rPr>
      </w:pPr>
      <w:bookmarkStart w:id="6" w:name="_Toc521080041"/>
      <w:r w:rsidRPr="00932C88">
        <w:rPr>
          <w:rFonts w:ascii="Arial" w:eastAsia="Times New Roman" w:hAnsi="Arial" w:cs="Arial"/>
          <w:b/>
          <w:bCs/>
          <w:color w:val="0072C6"/>
          <w:kern w:val="32"/>
          <w:sz w:val="28"/>
          <w:szCs w:val="32"/>
        </w:rPr>
        <w:lastRenderedPageBreak/>
        <w:t>Eligible investments</w:t>
      </w:r>
      <w:bookmarkEnd w:id="6"/>
    </w:p>
    <w:p w14:paraId="739AF2ED" w14:textId="77777777" w:rsidR="00B119A0" w:rsidRPr="00DE58FC" w:rsidRDefault="00B119A0" w:rsidP="00B119A0">
      <w:pPr>
        <w:autoSpaceDE w:val="0"/>
        <w:autoSpaceDN w:val="0"/>
        <w:adjustRightInd w:val="0"/>
        <w:spacing w:after="0"/>
        <w:rPr>
          <w:rFonts w:ascii="Arial" w:eastAsia="Times New Roman" w:hAnsi="Arial" w:cs="Arial"/>
          <w:sz w:val="24"/>
          <w:szCs w:val="24"/>
          <w:lang w:eastAsia="en-GB"/>
        </w:rPr>
      </w:pPr>
    </w:p>
    <w:p w14:paraId="1A666995" w14:textId="77777777" w:rsidR="008460DE" w:rsidRPr="00C6655B" w:rsidRDefault="008460DE" w:rsidP="00B05A0F">
      <w:pPr>
        <w:pStyle w:val="ListParagraph"/>
        <w:numPr>
          <w:ilvl w:val="1"/>
          <w:numId w:val="63"/>
        </w:numPr>
        <w:autoSpaceDE w:val="0"/>
        <w:autoSpaceDN w:val="0"/>
        <w:adjustRightInd w:val="0"/>
        <w:rPr>
          <w:rFonts w:ascii="Arial" w:hAnsi="Arial" w:cs="Arial"/>
        </w:rPr>
      </w:pPr>
      <w:r>
        <w:rPr>
          <w:rFonts w:ascii="Arial" w:hAnsi="Arial" w:cs="Arial"/>
        </w:rPr>
        <w:t>Where necessary, eligibility can be confirmed with NHS England before proposals are worked up in detail.</w:t>
      </w:r>
    </w:p>
    <w:p w14:paraId="65ED39CA" w14:textId="77777777" w:rsidR="008460DE" w:rsidRPr="00B119A0" w:rsidRDefault="008460DE" w:rsidP="008460DE">
      <w:pPr>
        <w:pStyle w:val="ListParagraph"/>
        <w:rPr>
          <w:rFonts w:ascii="Arial" w:hAnsi="Arial" w:cs="Arial"/>
        </w:rPr>
      </w:pPr>
    </w:p>
    <w:p w14:paraId="58CEF138" w14:textId="77777777" w:rsidR="00883E46" w:rsidRPr="00932C88" w:rsidRDefault="00883E46" w:rsidP="0031010F">
      <w:pPr>
        <w:pStyle w:val="ListParagraph"/>
        <w:autoSpaceDE w:val="0"/>
        <w:autoSpaceDN w:val="0"/>
        <w:adjustRightInd w:val="0"/>
        <w:ind w:left="426"/>
        <w:rPr>
          <w:rFonts w:ascii="Arial" w:hAnsi="Arial" w:cs="Arial"/>
          <w:b/>
        </w:rPr>
      </w:pPr>
      <w:r w:rsidRPr="00932C88">
        <w:rPr>
          <w:rFonts w:ascii="Arial" w:hAnsi="Arial" w:cs="Arial"/>
          <w:b/>
        </w:rPr>
        <w:t xml:space="preserve">What </w:t>
      </w:r>
      <w:r w:rsidR="00EB67A3" w:rsidRPr="00932C88">
        <w:rPr>
          <w:rFonts w:ascii="Arial" w:hAnsi="Arial" w:cs="Arial"/>
          <w:b/>
        </w:rPr>
        <w:t xml:space="preserve">types of initiative </w:t>
      </w:r>
      <w:r w:rsidRPr="00932C88">
        <w:rPr>
          <w:rFonts w:ascii="Arial" w:hAnsi="Arial" w:cs="Arial"/>
          <w:b/>
        </w:rPr>
        <w:t>can the funding be invested in?</w:t>
      </w:r>
    </w:p>
    <w:p w14:paraId="1608CE55" w14:textId="77777777" w:rsidR="00883E46" w:rsidRDefault="00883E46" w:rsidP="0031010F">
      <w:pPr>
        <w:pStyle w:val="ListParagraph"/>
        <w:autoSpaceDE w:val="0"/>
        <w:autoSpaceDN w:val="0"/>
        <w:adjustRightInd w:val="0"/>
        <w:ind w:left="576"/>
        <w:rPr>
          <w:rFonts w:ascii="Arial" w:hAnsi="Arial" w:cs="Arial"/>
        </w:rPr>
      </w:pPr>
    </w:p>
    <w:p w14:paraId="6AE05650" w14:textId="012B712C" w:rsidR="0071028F" w:rsidRDefault="0071028F" w:rsidP="00B05A0F">
      <w:pPr>
        <w:pStyle w:val="ListParagraph"/>
        <w:numPr>
          <w:ilvl w:val="1"/>
          <w:numId w:val="63"/>
        </w:numPr>
        <w:autoSpaceDE w:val="0"/>
        <w:autoSpaceDN w:val="0"/>
        <w:adjustRightInd w:val="0"/>
        <w:rPr>
          <w:rFonts w:ascii="Arial" w:hAnsi="Arial" w:cs="Arial"/>
        </w:rPr>
      </w:pPr>
      <w:r>
        <w:rPr>
          <w:rFonts w:ascii="Arial" w:hAnsi="Arial" w:cs="Arial"/>
        </w:rPr>
        <w:t xml:space="preserve">Investments of allocated funding should focus on the digitisation of </w:t>
      </w:r>
      <w:r w:rsidR="00B4627E">
        <w:rPr>
          <w:rFonts w:ascii="Arial" w:hAnsi="Arial" w:cs="Arial"/>
        </w:rPr>
        <w:t xml:space="preserve">mental health, community, acute </w:t>
      </w:r>
      <w:r w:rsidR="004E5942">
        <w:rPr>
          <w:rFonts w:ascii="Arial" w:hAnsi="Arial" w:cs="Arial"/>
        </w:rPr>
        <w:t xml:space="preserve">and ambulance providers, </w:t>
      </w:r>
      <w:r w:rsidR="00B4627E">
        <w:rPr>
          <w:rFonts w:ascii="Arial" w:hAnsi="Arial" w:cs="Arial"/>
        </w:rPr>
        <w:t xml:space="preserve">and interoperability between them and </w:t>
      </w:r>
      <w:r w:rsidR="004E5942">
        <w:rPr>
          <w:rFonts w:ascii="Arial" w:hAnsi="Arial" w:cs="Arial"/>
        </w:rPr>
        <w:t xml:space="preserve">primary and </w:t>
      </w:r>
      <w:r w:rsidR="00B4627E">
        <w:rPr>
          <w:rFonts w:ascii="Arial" w:hAnsi="Arial" w:cs="Arial"/>
        </w:rPr>
        <w:t>social care to support clinicians in delivering</w:t>
      </w:r>
      <w:r w:rsidRPr="00C3530E">
        <w:rPr>
          <w:rFonts w:ascii="Arial" w:hAnsi="Arial" w:cs="Arial"/>
        </w:rPr>
        <w:t xml:space="preserve"> direct care. </w:t>
      </w:r>
    </w:p>
    <w:p w14:paraId="2519FD78" w14:textId="35429E5C" w:rsidR="004E5942" w:rsidRDefault="004E5942" w:rsidP="004E5942">
      <w:pPr>
        <w:pStyle w:val="ListParagraph"/>
        <w:autoSpaceDE w:val="0"/>
        <w:autoSpaceDN w:val="0"/>
        <w:adjustRightInd w:val="0"/>
        <w:ind w:left="576"/>
        <w:rPr>
          <w:rFonts w:ascii="Arial" w:hAnsi="Arial" w:cs="Arial"/>
        </w:rPr>
      </w:pPr>
    </w:p>
    <w:p w14:paraId="5958141C" w14:textId="6C5D5988" w:rsidR="00043810" w:rsidRPr="004E5942" w:rsidRDefault="00043810" w:rsidP="004E5942">
      <w:pPr>
        <w:pStyle w:val="ListParagraph"/>
        <w:numPr>
          <w:ilvl w:val="1"/>
          <w:numId w:val="63"/>
        </w:numPr>
        <w:autoSpaceDE w:val="0"/>
        <w:autoSpaceDN w:val="0"/>
        <w:adjustRightInd w:val="0"/>
        <w:rPr>
          <w:rFonts w:ascii="Arial" w:hAnsi="Arial" w:cs="Arial"/>
        </w:rPr>
      </w:pPr>
      <w:r w:rsidRPr="004E5942">
        <w:rPr>
          <w:rFonts w:ascii="Arial" w:hAnsi="Arial" w:cs="Arial"/>
        </w:rPr>
        <w:t>At the core of IT investment should be the NHS’s immediate challenges of managing very tight financial and capacity resources, reducing unnecessary acute admissions and length of stay, enabling community and ambulance services to keep people well and in the most appropriate location for their care, joining up care around the patient to optimise their experience and the quality of care they receive.</w:t>
      </w:r>
    </w:p>
    <w:p w14:paraId="23084E71" w14:textId="77777777" w:rsidR="0071028F" w:rsidRPr="004236CA" w:rsidRDefault="0071028F" w:rsidP="0071028F">
      <w:pPr>
        <w:pStyle w:val="ListParagraph"/>
        <w:rPr>
          <w:rFonts w:ascii="Arial" w:hAnsi="Arial" w:cs="Arial"/>
        </w:rPr>
      </w:pPr>
    </w:p>
    <w:p w14:paraId="10B5F77B" w14:textId="00D352D8" w:rsidR="00B4627E" w:rsidRDefault="00A01CA5" w:rsidP="00B05A0F">
      <w:pPr>
        <w:pStyle w:val="ListParagraph"/>
        <w:numPr>
          <w:ilvl w:val="1"/>
          <w:numId w:val="63"/>
        </w:numPr>
        <w:autoSpaceDE w:val="0"/>
        <w:autoSpaceDN w:val="0"/>
        <w:adjustRightInd w:val="0"/>
        <w:ind w:left="567" w:hanging="567"/>
        <w:rPr>
          <w:rFonts w:ascii="Arial" w:hAnsi="Arial" w:cs="Arial"/>
        </w:rPr>
      </w:pPr>
      <w:r>
        <w:rPr>
          <w:rFonts w:ascii="Arial" w:hAnsi="Arial" w:cs="Arial"/>
        </w:rPr>
        <w:t xml:space="preserve">Over the three years of the programme, we expect to see systems make </w:t>
      </w:r>
      <w:r w:rsidR="00BC3D38">
        <w:rPr>
          <w:rFonts w:ascii="Arial" w:hAnsi="Arial" w:cs="Arial"/>
        </w:rPr>
        <w:t xml:space="preserve">progress against the following </w:t>
      </w:r>
      <w:r w:rsidR="00151845">
        <w:rPr>
          <w:rFonts w:ascii="Arial" w:hAnsi="Arial" w:cs="Arial"/>
        </w:rPr>
        <w:t>system digitisation</w:t>
      </w:r>
      <w:r w:rsidR="00BC3D38">
        <w:rPr>
          <w:rFonts w:ascii="Arial" w:hAnsi="Arial" w:cs="Arial"/>
        </w:rPr>
        <w:t xml:space="preserve"> priorities</w:t>
      </w:r>
      <w:r w:rsidR="00B4627E">
        <w:rPr>
          <w:rFonts w:ascii="Arial" w:hAnsi="Arial" w:cs="Arial"/>
        </w:rPr>
        <w:t>:</w:t>
      </w:r>
    </w:p>
    <w:p w14:paraId="5D968019" w14:textId="77777777" w:rsidR="00A01CA5" w:rsidRPr="00A01CA5" w:rsidRDefault="00A01CA5" w:rsidP="00A01CA5">
      <w:pPr>
        <w:autoSpaceDE w:val="0"/>
        <w:autoSpaceDN w:val="0"/>
        <w:adjustRightInd w:val="0"/>
        <w:spacing w:after="0"/>
        <w:rPr>
          <w:rFonts w:ascii="Arial" w:hAnsi="Arial" w:cs="Arial"/>
        </w:rPr>
      </w:pPr>
    </w:p>
    <w:p w14:paraId="2FE3E687" w14:textId="197E7704" w:rsidR="00B4627E" w:rsidRDefault="00BC3D38" w:rsidP="00A01CA5">
      <w:pPr>
        <w:pStyle w:val="ListParagraph"/>
        <w:numPr>
          <w:ilvl w:val="0"/>
          <w:numId w:val="65"/>
        </w:numPr>
        <w:autoSpaceDE w:val="0"/>
        <w:autoSpaceDN w:val="0"/>
        <w:adjustRightInd w:val="0"/>
        <w:rPr>
          <w:rFonts w:ascii="Arial" w:hAnsi="Arial" w:cs="Arial"/>
        </w:rPr>
      </w:pPr>
      <w:r w:rsidRPr="00202732">
        <w:rPr>
          <w:rFonts w:ascii="Arial" w:hAnsi="Arial" w:cs="Arial"/>
          <w:b/>
        </w:rPr>
        <w:t>De</w:t>
      </w:r>
      <w:r w:rsidR="0038275B">
        <w:rPr>
          <w:rFonts w:ascii="Arial" w:hAnsi="Arial" w:cs="Arial"/>
          <w:b/>
        </w:rPr>
        <w:t xml:space="preserve">ploying </w:t>
      </w:r>
      <w:r w:rsidRPr="00202732">
        <w:rPr>
          <w:rFonts w:ascii="Arial" w:hAnsi="Arial" w:cs="Arial"/>
          <w:b/>
        </w:rPr>
        <w:t xml:space="preserve">EPR solutions </w:t>
      </w:r>
      <w:r w:rsidR="0038275B">
        <w:rPr>
          <w:rFonts w:ascii="Arial" w:hAnsi="Arial" w:cs="Arial"/>
          <w:b/>
        </w:rPr>
        <w:t xml:space="preserve">at scale </w:t>
      </w:r>
      <w:r w:rsidRPr="00202732">
        <w:rPr>
          <w:rFonts w:ascii="Arial" w:hAnsi="Arial" w:cs="Arial"/>
          <w:b/>
        </w:rPr>
        <w:t>across systems</w:t>
      </w:r>
      <w:r>
        <w:rPr>
          <w:rFonts w:ascii="Arial" w:hAnsi="Arial" w:cs="Arial"/>
        </w:rPr>
        <w:t xml:space="preserve"> to allow provider digitisation to go further, faster, and more cost-effectively.</w:t>
      </w:r>
      <w:r w:rsidR="00202732">
        <w:rPr>
          <w:rFonts w:ascii="Arial" w:hAnsi="Arial" w:cs="Arial"/>
        </w:rPr>
        <w:t xml:space="preserve"> </w:t>
      </w:r>
      <w:r w:rsidR="00D3020A">
        <w:rPr>
          <w:rFonts w:ascii="Arial" w:hAnsi="Arial" w:cs="Arial"/>
        </w:rPr>
        <w:t xml:space="preserve">Systems might look at short-term investments in year one to add additional modules to existing EPR solutions. </w:t>
      </w:r>
      <w:r w:rsidR="00202732">
        <w:rPr>
          <w:rFonts w:ascii="Arial" w:hAnsi="Arial" w:cs="Arial"/>
        </w:rPr>
        <w:t xml:space="preserve">Blueprints will become available, particularly from year </w:t>
      </w:r>
      <w:r w:rsidR="00CB47D0">
        <w:rPr>
          <w:rFonts w:ascii="Arial" w:hAnsi="Arial" w:cs="Arial"/>
        </w:rPr>
        <w:t>two</w:t>
      </w:r>
      <w:r w:rsidR="00D3020A">
        <w:rPr>
          <w:rFonts w:ascii="Arial" w:hAnsi="Arial" w:cs="Arial"/>
        </w:rPr>
        <w:t>, to support accelerated progress</w:t>
      </w:r>
      <w:r w:rsidR="00202732">
        <w:rPr>
          <w:rFonts w:ascii="Arial" w:hAnsi="Arial" w:cs="Arial"/>
        </w:rPr>
        <w:t xml:space="preserve">. In addition, we are hoping that further investment will become available, mainly in years </w:t>
      </w:r>
      <w:r w:rsidR="00CB47D0">
        <w:rPr>
          <w:rFonts w:ascii="Arial" w:hAnsi="Arial" w:cs="Arial"/>
        </w:rPr>
        <w:t>two</w:t>
      </w:r>
      <w:r w:rsidR="00202732">
        <w:rPr>
          <w:rFonts w:ascii="Arial" w:hAnsi="Arial" w:cs="Arial"/>
        </w:rPr>
        <w:t xml:space="preserve"> and </w:t>
      </w:r>
      <w:r w:rsidR="00CB47D0">
        <w:rPr>
          <w:rFonts w:ascii="Arial" w:hAnsi="Arial" w:cs="Arial"/>
        </w:rPr>
        <w:t>three</w:t>
      </w:r>
      <w:r w:rsidR="00202732">
        <w:rPr>
          <w:rFonts w:ascii="Arial" w:hAnsi="Arial" w:cs="Arial"/>
        </w:rPr>
        <w:t>, to expand the GDE / FF programme. This should be confirmed later in the year - it should therefore not impact the initial prioritisation undertaken by systems, although priorities may need to be revised in due course.</w:t>
      </w:r>
      <w:r w:rsidR="00B4627E">
        <w:rPr>
          <w:rFonts w:ascii="Arial" w:hAnsi="Arial" w:cs="Arial"/>
        </w:rPr>
        <w:t xml:space="preserve"> </w:t>
      </w:r>
    </w:p>
    <w:p w14:paraId="550F8F66" w14:textId="77777777" w:rsidR="00B4627E" w:rsidRDefault="00B4627E" w:rsidP="00A01CA5">
      <w:pPr>
        <w:pStyle w:val="ListParagraph"/>
        <w:autoSpaceDE w:val="0"/>
        <w:autoSpaceDN w:val="0"/>
        <w:adjustRightInd w:val="0"/>
        <w:ind w:left="1080"/>
        <w:rPr>
          <w:rFonts w:ascii="Arial" w:hAnsi="Arial" w:cs="Arial"/>
        </w:rPr>
      </w:pPr>
    </w:p>
    <w:p w14:paraId="3580854C" w14:textId="17EE7389" w:rsidR="00B4627E" w:rsidRDefault="00B4627E" w:rsidP="00A01CA5">
      <w:pPr>
        <w:pStyle w:val="ListParagraph"/>
        <w:numPr>
          <w:ilvl w:val="0"/>
          <w:numId w:val="65"/>
        </w:numPr>
        <w:autoSpaceDE w:val="0"/>
        <w:autoSpaceDN w:val="0"/>
        <w:adjustRightInd w:val="0"/>
        <w:rPr>
          <w:rFonts w:ascii="Arial" w:hAnsi="Arial" w:cs="Arial"/>
        </w:rPr>
      </w:pPr>
      <w:r>
        <w:rPr>
          <w:rFonts w:ascii="Arial" w:hAnsi="Arial" w:cs="Arial"/>
          <w:b/>
        </w:rPr>
        <w:t>E</w:t>
      </w:r>
      <w:r w:rsidRPr="00B4627E">
        <w:rPr>
          <w:rFonts w:ascii="Arial" w:hAnsi="Arial" w:cs="Arial"/>
          <w:b/>
        </w:rPr>
        <w:t>x</w:t>
      </w:r>
      <w:r w:rsidRPr="00A01CA5">
        <w:rPr>
          <w:rFonts w:ascii="Arial" w:hAnsi="Arial" w:cs="Arial"/>
          <w:b/>
        </w:rPr>
        <w:t xml:space="preserve">tending system capacity management </w:t>
      </w:r>
      <w:r w:rsidRPr="00C271E2">
        <w:rPr>
          <w:rFonts w:ascii="Arial" w:hAnsi="Arial" w:cs="Arial"/>
        </w:rPr>
        <w:t>to improve</w:t>
      </w:r>
      <w:r w:rsidR="00043810" w:rsidRPr="00C271E2">
        <w:rPr>
          <w:rFonts w:ascii="Arial" w:hAnsi="Arial" w:cs="Arial"/>
        </w:rPr>
        <w:t xml:space="preserve"> hospital flow</w:t>
      </w:r>
      <w:r w:rsidR="00043810">
        <w:rPr>
          <w:rFonts w:ascii="Arial" w:hAnsi="Arial" w:cs="Arial"/>
          <w:b/>
        </w:rPr>
        <w:t>.</w:t>
      </w:r>
      <w:r w:rsidR="00043810">
        <w:rPr>
          <w:rFonts w:ascii="Arial" w:hAnsi="Arial" w:cs="Arial"/>
        </w:rPr>
        <w:t xml:space="preserve">  Systems might look at short term investments in year one to </w:t>
      </w:r>
      <w:r w:rsidR="00202732">
        <w:rPr>
          <w:rFonts w:ascii="Arial" w:hAnsi="Arial" w:cs="Arial"/>
        </w:rPr>
        <w:t xml:space="preserve">provide a foundation of </w:t>
      </w:r>
      <w:r w:rsidR="00043810">
        <w:rPr>
          <w:rFonts w:ascii="Arial" w:hAnsi="Arial" w:cs="Arial"/>
        </w:rPr>
        <w:t>real time bed management</w:t>
      </w:r>
      <w:r w:rsidR="00202732">
        <w:rPr>
          <w:rFonts w:ascii="Arial" w:hAnsi="Arial" w:cs="Arial"/>
        </w:rPr>
        <w:t xml:space="preserve">. Years </w:t>
      </w:r>
      <w:r w:rsidR="00CB47D0">
        <w:rPr>
          <w:rFonts w:ascii="Arial" w:hAnsi="Arial" w:cs="Arial"/>
        </w:rPr>
        <w:t>two</w:t>
      </w:r>
      <w:r w:rsidR="00202732">
        <w:rPr>
          <w:rFonts w:ascii="Arial" w:hAnsi="Arial" w:cs="Arial"/>
        </w:rPr>
        <w:t xml:space="preserve"> and </w:t>
      </w:r>
      <w:r w:rsidR="00CB47D0">
        <w:rPr>
          <w:rFonts w:ascii="Arial" w:hAnsi="Arial" w:cs="Arial"/>
        </w:rPr>
        <w:t>three</w:t>
      </w:r>
      <w:r w:rsidR="00202732">
        <w:rPr>
          <w:rFonts w:ascii="Arial" w:hAnsi="Arial" w:cs="Arial"/>
        </w:rPr>
        <w:t xml:space="preserve"> would have the potential for a system wide strategic investment</w:t>
      </w:r>
      <w:r w:rsidR="00B768F3">
        <w:rPr>
          <w:rFonts w:ascii="Arial" w:hAnsi="Arial" w:cs="Arial"/>
        </w:rPr>
        <w:t>, informed by learning from the exemplar programmes that will be announced later this year.</w:t>
      </w:r>
    </w:p>
    <w:p w14:paraId="1E867B45" w14:textId="77777777" w:rsidR="00043810" w:rsidRDefault="00043810" w:rsidP="00A01CA5">
      <w:pPr>
        <w:pStyle w:val="ListParagraph"/>
        <w:autoSpaceDE w:val="0"/>
        <w:autoSpaceDN w:val="0"/>
        <w:adjustRightInd w:val="0"/>
        <w:ind w:left="1080"/>
        <w:rPr>
          <w:rFonts w:ascii="Arial" w:hAnsi="Arial" w:cs="Arial"/>
        </w:rPr>
      </w:pPr>
    </w:p>
    <w:p w14:paraId="2833C48F" w14:textId="07C4D428" w:rsidR="00043810" w:rsidRDefault="00043810" w:rsidP="00A01CA5">
      <w:pPr>
        <w:pStyle w:val="ListParagraph"/>
        <w:numPr>
          <w:ilvl w:val="0"/>
          <w:numId w:val="65"/>
        </w:numPr>
        <w:autoSpaceDE w:val="0"/>
        <w:autoSpaceDN w:val="0"/>
        <w:adjustRightInd w:val="0"/>
        <w:rPr>
          <w:rFonts w:ascii="Arial" w:hAnsi="Arial" w:cs="Arial"/>
        </w:rPr>
      </w:pPr>
      <w:r>
        <w:rPr>
          <w:rFonts w:ascii="Arial" w:hAnsi="Arial" w:cs="Arial"/>
          <w:b/>
        </w:rPr>
        <w:t xml:space="preserve">Improving </w:t>
      </w:r>
      <w:r w:rsidR="002E1F9E">
        <w:rPr>
          <w:rFonts w:ascii="Arial" w:hAnsi="Arial" w:cs="Arial"/>
          <w:b/>
        </w:rPr>
        <w:t xml:space="preserve">system-wide </w:t>
      </w:r>
      <w:r>
        <w:rPr>
          <w:rFonts w:ascii="Arial" w:hAnsi="Arial" w:cs="Arial"/>
          <w:b/>
        </w:rPr>
        <w:t xml:space="preserve">staff rostering </w:t>
      </w:r>
      <w:r w:rsidRPr="00C271E2">
        <w:rPr>
          <w:rFonts w:ascii="Arial" w:hAnsi="Arial" w:cs="Arial"/>
        </w:rPr>
        <w:t>to reduce agency use and increase flexible working.</w:t>
      </w:r>
      <w:r>
        <w:rPr>
          <w:rFonts w:ascii="Arial" w:hAnsi="Arial" w:cs="Arial"/>
        </w:rPr>
        <w:t xml:space="preserve"> Systems might look at short term investments in year one to </w:t>
      </w:r>
      <w:r w:rsidR="00B768F3">
        <w:rPr>
          <w:rFonts w:ascii="Arial" w:hAnsi="Arial" w:cs="Arial"/>
        </w:rPr>
        <w:t xml:space="preserve">provide a foundation of </w:t>
      </w:r>
      <w:r w:rsidR="00346C74">
        <w:rPr>
          <w:rFonts w:ascii="Arial" w:hAnsi="Arial" w:cs="Arial"/>
        </w:rPr>
        <w:t>better workforce visibility</w:t>
      </w:r>
      <w:r w:rsidR="00B768F3">
        <w:rPr>
          <w:rFonts w:ascii="Arial" w:hAnsi="Arial" w:cs="Arial"/>
        </w:rPr>
        <w:t xml:space="preserve">. Years </w:t>
      </w:r>
      <w:r w:rsidR="00CB47D0">
        <w:rPr>
          <w:rFonts w:ascii="Arial" w:hAnsi="Arial" w:cs="Arial"/>
        </w:rPr>
        <w:t>two</w:t>
      </w:r>
      <w:r w:rsidR="00B768F3">
        <w:rPr>
          <w:rFonts w:ascii="Arial" w:hAnsi="Arial" w:cs="Arial"/>
        </w:rPr>
        <w:t xml:space="preserve"> and </w:t>
      </w:r>
      <w:r w:rsidR="00CB47D0">
        <w:rPr>
          <w:rFonts w:ascii="Arial" w:hAnsi="Arial" w:cs="Arial"/>
        </w:rPr>
        <w:t>three</w:t>
      </w:r>
      <w:r w:rsidR="00B768F3">
        <w:rPr>
          <w:rFonts w:ascii="Arial" w:hAnsi="Arial" w:cs="Arial"/>
        </w:rPr>
        <w:t xml:space="preserve"> would have the potential for a system wide strategic investment, informed by learning from the exemplar programmes that will be announced later this year.</w:t>
      </w:r>
    </w:p>
    <w:p w14:paraId="16EE70DD" w14:textId="77777777" w:rsidR="00A01CA5" w:rsidRPr="00A01CA5" w:rsidRDefault="00A01CA5" w:rsidP="00A01CA5">
      <w:pPr>
        <w:pStyle w:val="ListParagraph"/>
        <w:rPr>
          <w:rFonts w:ascii="Arial" w:hAnsi="Arial" w:cs="Arial"/>
        </w:rPr>
      </w:pPr>
    </w:p>
    <w:p w14:paraId="0E90A7F1" w14:textId="2632CF7D" w:rsidR="00043810" w:rsidRDefault="00043810" w:rsidP="00A01CA5">
      <w:pPr>
        <w:pStyle w:val="ListParagraph"/>
        <w:numPr>
          <w:ilvl w:val="0"/>
          <w:numId w:val="65"/>
        </w:numPr>
        <w:autoSpaceDE w:val="0"/>
        <w:autoSpaceDN w:val="0"/>
        <w:adjustRightInd w:val="0"/>
        <w:rPr>
          <w:rFonts w:ascii="Arial" w:hAnsi="Arial" w:cs="Arial"/>
        </w:rPr>
      </w:pPr>
      <w:r w:rsidRPr="00A01CA5">
        <w:rPr>
          <w:rFonts w:ascii="Arial" w:hAnsi="Arial" w:cs="Arial"/>
          <w:b/>
        </w:rPr>
        <w:t xml:space="preserve">Improving </w:t>
      </w:r>
      <w:r w:rsidR="008E1529" w:rsidRPr="00A01CA5">
        <w:rPr>
          <w:rFonts w:ascii="Arial" w:hAnsi="Arial" w:cs="Arial"/>
          <w:b/>
        </w:rPr>
        <w:t xml:space="preserve">the </w:t>
      </w:r>
      <w:r w:rsidR="003951F7">
        <w:rPr>
          <w:rFonts w:ascii="Arial" w:hAnsi="Arial" w:cs="Arial"/>
          <w:b/>
        </w:rPr>
        <w:t>completeness</w:t>
      </w:r>
      <w:r w:rsidR="008E1529" w:rsidRPr="00A01CA5">
        <w:rPr>
          <w:rFonts w:ascii="Arial" w:hAnsi="Arial" w:cs="Arial"/>
          <w:b/>
        </w:rPr>
        <w:t xml:space="preserve"> </w:t>
      </w:r>
      <w:r w:rsidR="00A26B2E" w:rsidRPr="00A01CA5">
        <w:rPr>
          <w:rFonts w:ascii="Arial" w:hAnsi="Arial" w:cs="Arial"/>
          <w:b/>
        </w:rPr>
        <w:t xml:space="preserve">of information available in non-acute settings with </w:t>
      </w:r>
      <w:r w:rsidRPr="00A01CA5">
        <w:rPr>
          <w:rFonts w:ascii="Arial" w:hAnsi="Arial" w:cs="Arial"/>
          <w:b/>
        </w:rPr>
        <w:t xml:space="preserve">real time, coded data collection in community, mental health </w:t>
      </w:r>
      <w:r w:rsidR="001611BF" w:rsidRPr="00C271E2">
        <w:rPr>
          <w:rFonts w:ascii="Arial" w:hAnsi="Arial" w:cs="Arial"/>
        </w:rPr>
        <w:t>t</w:t>
      </w:r>
      <w:r w:rsidRPr="00A01CA5">
        <w:rPr>
          <w:rFonts w:ascii="Arial" w:hAnsi="Arial" w:cs="Arial"/>
        </w:rPr>
        <w:t>o facilitate better patient care and more efficient use of inpatient and domiciliary staff and resources.</w:t>
      </w:r>
    </w:p>
    <w:p w14:paraId="55E0F616" w14:textId="77777777" w:rsidR="00B768F3" w:rsidRPr="00B768F3" w:rsidRDefault="00B768F3" w:rsidP="00B768F3">
      <w:pPr>
        <w:pStyle w:val="ListParagraph"/>
        <w:rPr>
          <w:rFonts w:ascii="Arial" w:hAnsi="Arial" w:cs="Arial"/>
        </w:rPr>
      </w:pPr>
    </w:p>
    <w:p w14:paraId="0F71616D" w14:textId="64ED805B" w:rsidR="00043810" w:rsidRDefault="00043810" w:rsidP="00B768F3">
      <w:pPr>
        <w:pStyle w:val="ListParagraph"/>
        <w:numPr>
          <w:ilvl w:val="0"/>
          <w:numId w:val="65"/>
        </w:numPr>
        <w:autoSpaceDE w:val="0"/>
        <w:autoSpaceDN w:val="0"/>
        <w:adjustRightInd w:val="0"/>
        <w:rPr>
          <w:rFonts w:ascii="Arial" w:hAnsi="Arial" w:cs="Arial"/>
        </w:rPr>
      </w:pPr>
      <w:r w:rsidRPr="00B768F3">
        <w:rPr>
          <w:rFonts w:ascii="Arial" w:hAnsi="Arial" w:cs="Arial"/>
          <w:b/>
        </w:rPr>
        <w:lastRenderedPageBreak/>
        <w:t>Improving ambulance and non-acute access to clinical information and support</w:t>
      </w:r>
      <w:r w:rsidRPr="00B768F3">
        <w:rPr>
          <w:rFonts w:ascii="Arial" w:hAnsi="Arial" w:cs="Arial"/>
        </w:rPr>
        <w:t xml:space="preserve"> </w:t>
      </w:r>
      <w:r w:rsidR="00D245E5" w:rsidRPr="00B768F3">
        <w:rPr>
          <w:rFonts w:ascii="Arial" w:hAnsi="Arial" w:cs="Arial"/>
        </w:rPr>
        <w:t xml:space="preserve">such as technology to link paramedics in the field to support from an A&amp;E clinician </w:t>
      </w:r>
      <w:r w:rsidRPr="00B768F3">
        <w:rPr>
          <w:rFonts w:ascii="Arial" w:hAnsi="Arial" w:cs="Arial"/>
        </w:rPr>
        <w:t>to reduce unnecessary</w:t>
      </w:r>
      <w:r w:rsidR="008A258E" w:rsidRPr="00B768F3">
        <w:rPr>
          <w:rFonts w:ascii="Arial" w:hAnsi="Arial" w:cs="Arial"/>
        </w:rPr>
        <w:t xml:space="preserve"> transportation and</w:t>
      </w:r>
      <w:r w:rsidRPr="00B768F3">
        <w:rPr>
          <w:rFonts w:ascii="Arial" w:hAnsi="Arial" w:cs="Arial"/>
        </w:rPr>
        <w:t xml:space="preserve"> hospital admission</w:t>
      </w:r>
      <w:r w:rsidR="008A258E" w:rsidRPr="00B768F3">
        <w:rPr>
          <w:rFonts w:ascii="Arial" w:hAnsi="Arial" w:cs="Arial"/>
        </w:rPr>
        <w:t>s</w:t>
      </w:r>
      <w:r w:rsidRPr="00B768F3">
        <w:rPr>
          <w:rFonts w:ascii="Arial" w:hAnsi="Arial" w:cs="Arial"/>
        </w:rPr>
        <w:t xml:space="preserve">.  </w:t>
      </w:r>
    </w:p>
    <w:p w14:paraId="7A8B7A11" w14:textId="77777777" w:rsidR="00B768F3" w:rsidRPr="00B768F3" w:rsidRDefault="00B768F3" w:rsidP="00B768F3">
      <w:pPr>
        <w:pStyle w:val="ListParagraph"/>
        <w:rPr>
          <w:rFonts w:ascii="Arial" w:hAnsi="Arial" w:cs="Arial"/>
        </w:rPr>
      </w:pPr>
    </w:p>
    <w:p w14:paraId="75C26D86" w14:textId="2CB7A011" w:rsidR="00043810" w:rsidRPr="00B768F3" w:rsidRDefault="00043810" w:rsidP="00B768F3">
      <w:pPr>
        <w:pStyle w:val="ListParagraph"/>
        <w:numPr>
          <w:ilvl w:val="0"/>
          <w:numId w:val="65"/>
        </w:numPr>
        <w:autoSpaceDE w:val="0"/>
        <w:autoSpaceDN w:val="0"/>
        <w:adjustRightInd w:val="0"/>
        <w:rPr>
          <w:rFonts w:ascii="Arial" w:hAnsi="Arial" w:cs="Arial"/>
        </w:rPr>
      </w:pPr>
      <w:r w:rsidRPr="00B768F3">
        <w:rPr>
          <w:rFonts w:ascii="Arial" w:hAnsi="Arial" w:cs="Arial"/>
          <w:b/>
        </w:rPr>
        <w:t xml:space="preserve">Sharing health and social care information </w:t>
      </w:r>
      <w:r w:rsidRPr="00B768F3">
        <w:rPr>
          <w:rFonts w:ascii="Arial" w:hAnsi="Arial" w:cs="Arial"/>
        </w:rPr>
        <w:t xml:space="preserve">to </w:t>
      </w:r>
      <w:r w:rsidR="004A73F9" w:rsidRPr="00B768F3">
        <w:rPr>
          <w:rFonts w:ascii="Arial" w:hAnsi="Arial" w:cs="Arial"/>
        </w:rPr>
        <w:t xml:space="preserve">create a shared view between health and care professions working in people’s homes to </w:t>
      </w:r>
      <w:r w:rsidR="00275C5E" w:rsidRPr="00B768F3">
        <w:rPr>
          <w:rFonts w:ascii="Arial" w:hAnsi="Arial" w:cs="Arial"/>
        </w:rPr>
        <w:t>optimise</w:t>
      </w:r>
      <w:r w:rsidRPr="00B768F3">
        <w:rPr>
          <w:rFonts w:ascii="Arial" w:hAnsi="Arial" w:cs="Arial"/>
        </w:rPr>
        <w:t xml:space="preserve"> the care that patients</w:t>
      </w:r>
      <w:r w:rsidR="00275C5E" w:rsidRPr="00B768F3">
        <w:rPr>
          <w:rFonts w:ascii="Arial" w:hAnsi="Arial" w:cs="Arial"/>
        </w:rPr>
        <w:t xml:space="preserve"> receive.</w:t>
      </w:r>
      <w:r w:rsidRPr="00B768F3">
        <w:rPr>
          <w:rFonts w:ascii="Arial" w:hAnsi="Arial" w:cs="Arial"/>
        </w:rPr>
        <w:t xml:space="preserve"> </w:t>
      </w:r>
    </w:p>
    <w:p w14:paraId="3EF09681" w14:textId="77777777" w:rsidR="00B4627E" w:rsidRPr="00A01CA5" w:rsidRDefault="00B4627E" w:rsidP="00A01CA5">
      <w:pPr>
        <w:pStyle w:val="ListParagraph"/>
        <w:rPr>
          <w:rFonts w:ascii="Arial" w:hAnsi="Arial" w:cs="Arial"/>
        </w:rPr>
      </w:pPr>
    </w:p>
    <w:p w14:paraId="569BE47F" w14:textId="77777777" w:rsidR="00D05B88" w:rsidRPr="00C3530E" w:rsidRDefault="00BE63B2" w:rsidP="00B05A0F">
      <w:pPr>
        <w:pStyle w:val="ListParagraph"/>
        <w:numPr>
          <w:ilvl w:val="1"/>
          <w:numId w:val="63"/>
        </w:numPr>
        <w:rPr>
          <w:rFonts w:ascii="Arial" w:hAnsi="Arial" w:cs="Arial"/>
        </w:rPr>
      </w:pPr>
      <w:r w:rsidRPr="00BE63B2">
        <w:rPr>
          <w:rFonts w:ascii="Arial" w:hAnsi="Arial" w:cs="Arial"/>
        </w:rPr>
        <w:t xml:space="preserve">In practice, </w:t>
      </w:r>
      <w:r>
        <w:rPr>
          <w:rFonts w:ascii="Arial" w:hAnsi="Arial" w:cs="Arial"/>
        </w:rPr>
        <w:t xml:space="preserve">individual projects </w:t>
      </w:r>
      <w:r w:rsidRPr="00BE63B2">
        <w:rPr>
          <w:rFonts w:ascii="Arial" w:hAnsi="Arial" w:cs="Arial"/>
        </w:rPr>
        <w:t>may be focused on a Pro</w:t>
      </w:r>
      <w:r>
        <w:rPr>
          <w:rFonts w:ascii="Arial" w:hAnsi="Arial" w:cs="Arial"/>
        </w:rPr>
        <w:t xml:space="preserve">vider (e.g. </w:t>
      </w:r>
      <w:r w:rsidR="00482D77" w:rsidRPr="00482D77">
        <w:rPr>
          <w:rFonts w:ascii="Arial" w:hAnsi="Arial" w:cs="Arial"/>
        </w:rPr>
        <w:t xml:space="preserve">mobile working for </w:t>
      </w:r>
      <w:r w:rsidR="00885806" w:rsidRPr="00C3530E">
        <w:rPr>
          <w:rFonts w:ascii="Arial" w:hAnsi="Arial" w:cs="Arial"/>
        </w:rPr>
        <w:t>community-based staff</w:t>
      </w:r>
      <w:r w:rsidR="00482D77" w:rsidRPr="00C3530E">
        <w:rPr>
          <w:rFonts w:ascii="Arial" w:hAnsi="Arial" w:cs="Arial"/>
        </w:rPr>
        <w:t xml:space="preserve">, </w:t>
      </w:r>
      <w:r w:rsidRPr="00C3530E">
        <w:rPr>
          <w:rFonts w:ascii="Arial" w:hAnsi="Arial" w:cs="Arial"/>
        </w:rPr>
        <w:t xml:space="preserve">RFID tracking of high-value implants used during surgery), </w:t>
      </w:r>
      <w:r w:rsidR="001E2B23" w:rsidRPr="00C3530E">
        <w:rPr>
          <w:rFonts w:ascii="Arial" w:hAnsi="Arial" w:cs="Arial"/>
        </w:rPr>
        <w:t xml:space="preserve">or </w:t>
      </w:r>
      <w:r w:rsidR="00195F3B" w:rsidRPr="00C3530E">
        <w:rPr>
          <w:rFonts w:ascii="Arial" w:hAnsi="Arial" w:cs="Arial"/>
        </w:rPr>
        <w:t xml:space="preserve">may be at </w:t>
      </w:r>
      <w:r w:rsidRPr="00C3530E">
        <w:rPr>
          <w:rFonts w:ascii="Arial" w:hAnsi="Arial" w:cs="Arial"/>
        </w:rPr>
        <w:t>an ICS</w:t>
      </w:r>
      <w:r w:rsidR="00195F3B" w:rsidRPr="00C3530E">
        <w:rPr>
          <w:rFonts w:ascii="Arial" w:hAnsi="Arial" w:cs="Arial"/>
        </w:rPr>
        <w:t xml:space="preserve"> / STP level</w:t>
      </w:r>
      <w:r w:rsidRPr="00C3530E">
        <w:rPr>
          <w:rFonts w:ascii="Arial" w:hAnsi="Arial" w:cs="Arial"/>
        </w:rPr>
        <w:t xml:space="preserve"> (e.g. sharing of admission and discharge data between secondary and social care, managing patient flow across the </w:t>
      </w:r>
      <w:r w:rsidR="00563C0D" w:rsidRPr="00C3530E">
        <w:rPr>
          <w:rFonts w:ascii="Arial" w:hAnsi="Arial" w:cs="Arial"/>
        </w:rPr>
        <w:t xml:space="preserve">local </w:t>
      </w:r>
      <w:r w:rsidRPr="00C3530E">
        <w:rPr>
          <w:rFonts w:ascii="Arial" w:hAnsi="Arial" w:cs="Arial"/>
        </w:rPr>
        <w:t xml:space="preserve">system), or </w:t>
      </w:r>
      <w:r w:rsidR="001E2B23" w:rsidRPr="00C3530E">
        <w:rPr>
          <w:rFonts w:ascii="Arial" w:hAnsi="Arial" w:cs="Arial"/>
        </w:rPr>
        <w:t xml:space="preserve">may be </w:t>
      </w:r>
      <w:r w:rsidR="00195F3B" w:rsidRPr="00C3530E">
        <w:rPr>
          <w:rFonts w:ascii="Arial" w:hAnsi="Arial" w:cs="Arial"/>
        </w:rPr>
        <w:t>p</w:t>
      </w:r>
      <w:r w:rsidRPr="00C3530E">
        <w:rPr>
          <w:rFonts w:ascii="Arial" w:hAnsi="Arial" w:cs="Arial"/>
        </w:rPr>
        <w:t>an</w:t>
      </w:r>
      <w:r w:rsidR="00195F3B" w:rsidRPr="00C3530E">
        <w:rPr>
          <w:rFonts w:ascii="Arial" w:hAnsi="Arial" w:cs="Arial"/>
        </w:rPr>
        <w:t>-</w:t>
      </w:r>
      <w:r w:rsidR="00DF45A9" w:rsidRPr="00C3530E">
        <w:rPr>
          <w:rFonts w:ascii="Arial" w:hAnsi="Arial" w:cs="Arial"/>
        </w:rPr>
        <w:t xml:space="preserve">ICS / </w:t>
      </w:r>
      <w:r w:rsidRPr="00C3530E">
        <w:rPr>
          <w:rFonts w:ascii="Arial" w:hAnsi="Arial" w:cs="Arial"/>
        </w:rPr>
        <w:t xml:space="preserve">STP (e.g. </w:t>
      </w:r>
      <w:r w:rsidR="00E6332E" w:rsidRPr="00C3530E">
        <w:rPr>
          <w:rFonts w:ascii="Arial" w:hAnsi="Arial" w:cs="Arial"/>
        </w:rPr>
        <w:t xml:space="preserve">a longitudinal care record across </w:t>
      </w:r>
      <w:r w:rsidR="00BB59F7" w:rsidRPr="00C3530E">
        <w:rPr>
          <w:rFonts w:ascii="Arial" w:hAnsi="Arial" w:cs="Arial"/>
        </w:rPr>
        <w:t xml:space="preserve">secondary, primary and social </w:t>
      </w:r>
      <w:r w:rsidR="00E6332E" w:rsidRPr="00C3530E">
        <w:rPr>
          <w:rFonts w:ascii="Arial" w:hAnsi="Arial" w:cs="Arial"/>
        </w:rPr>
        <w:t>care settings to enable a base level of information sharing at scale</w:t>
      </w:r>
      <w:r w:rsidR="00DF45A9" w:rsidRPr="00C3530E">
        <w:rPr>
          <w:rFonts w:ascii="Arial" w:hAnsi="Arial" w:cs="Arial"/>
        </w:rPr>
        <w:t xml:space="preserve"> and laying the foundations for integrated care</w:t>
      </w:r>
      <w:r w:rsidRPr="00C3530E">
        <w:rPr>
          <w:rFonts w:ascii="Arial" w:hAnsi="Arial" w:cs="Arial"/>
        </w:rPr>
        <w:t>).</w:t>
      </w:r>
    </w:p>
    <w:p w14:paraId="3599C09E" w14:textId="77777777" w:rsidR="00D05B88" w:rsidRDefault="00D05B88" w:rsidP="00D05B88">
      <w:pPr>
        <w:pStyle w:val="ListParagraph"/>
        <w:autoSpaceDE w:val="0"/>
        <w:autoSpaceDN w:val="0"/>
        <w:adjustRightInd w:val="0"/>
        <w:ind w:left="567"/>
        <w:rPr>
          <w:rFonts w:ascii="Arial" w:hAnsi="Arial" w:cs="Arial"/>
        </w:rPr>
      </w:pPr>
    </w:p>
    <w:p w14:paraId="667F3720" w14:textId="12989B4A" w:rsidR="0052046B" w:rsidRDefault="0071028F" w:rsidP="00B05A0F">
      <w:pPr>
        <w:pStyle w:val="ListParagraph"/>
        <w:numPr>
          <w:ilvl w:val="1"/>
          <w:numId w:val="63"/>
        </w:numPr>
        <w:autoSpaceDE w:val="0"/>
        <w:autoSpaceDN w:val="0"/>
        <w:adjustRightInd w:val="0"/>
        <w:rPr>
          <w:rFonts w:ascii="Arial" w:hAnsi="Arial" w:cs="Arial"/>
        </w:rPr>
      </w:pPr>
      <w:r w:rsidRPr="0071028F">
        <w:rPr>
          <w:rFonts w:ascii="Arial" w:hAnsi="Arial" w:cs="Arial"/>
        </w:rPr>
        <w:t>Individual projects may focus on infrastructure</w:t>
      </w:r>
      <w:r w:rsidR="003F2EFF">
        <w:rPr>
          <w:rFonts w:ascii="Arial" w:hAnsi="Arial" w:cs="Arial"/>
        </w:rPr>
        <w:t xml:space="preserve"> if they enable clinicians to work in a new way</w:t>
      </w:r>
      <w:r w:rsidR="002D71FC">
        <w:rPr>
          <w:rFonts w:ascii="Arial" w:hAnsi="Arial" w:cs="Arial"/>
        </w:rPr>
        <w:t xml:space="preserve"> (e.g. enabling mobile working across the community)</w:t>
      </w:r>
      <w:r w:rsidR="00B342C8">
        <w:rPr>
          <w:rFonts w:ascii="Arial" w:hAnsi="Arial" w:cs="Arial"/>
        </w:rPr>
        <w:t xml:space="preserve"> or support the priorities detailed above (e.g. consistent staff identification across the system to enable information sharing)</w:t>
      </w:r>
      <w:r w:rsidR="00151845">
        <w:rPr>
          <w:rFonts w:ascii="Arial" w:hAnsi="Arial" w:cs="Arial"/>
        </w:rPr>
        <w:t xml:space="preserve">. </w:t>
      </w:r>
      <w:r w:rsidR="006075F1">
        <w:rPr>
          <w:rFonts w:ascii="Arial" w:hAnsi="Arial" w:cs="Arial"/>
        </w:rPr>
        <w:t xml:space="preserve">Infrastructure investment </w:t>
      </w:r>
      <w:r w:rsidR="002E1F9E">
        <w:rPr>
          <w:rFonts w:ascii="Arial" w:hAnsi="Arial" w:cs="Arial"/>
        </w:rPr>
        <w:t>might be a particular consideration for year one</w:t>
      </w:r>
      <w:r w:rsidRPr="0071028F">
        <w:rPr>
          <w:rFonts w:ascii="Arial" w:hAnsi="Arial" w:cs="Arial"/>
        </w:rPr>
        <w:t xml:space="preserve">. </w:t>
      </w:r>
      <w:r w:rsidR="005A277C">
        <w:rPr>
          <w:rFonts w:ascii="Arial" w:hAnsi="Arial" w:cs="Arial"/>
        </w:rPr>
        <w:t xml:space="preserve">The funding is </w:t>
      </w:r>
      <w:r w:rsidR="00EB0B52">
        <w:rPr>
          <w:rFonts w:ascii="Arial" w:hAnsi="Arial" w:cs="Arial"/>
        </w:rPr>
        <w:t xml:space="preserve">not a replacement for </w:t>
      </w:r>
      <w:r w:rsidR="005A277C">
        <w:rPr>
          <w:rFonts w:ascii="Arial" w:hAnsi="Arial" w:cs="Arial"/>
        </w:rPr>
        <w:t xml:space="preserve">ongoing local capital investment in maintaining basic infrastructure. </w:t>
      </w:r>
    </w:p>
    <w:p w14:paraId="3972BCA3" w14:textId="77777777" w:rsidR="0052046B" w:rsidRPr="00C6655B" w:rsidRDefault="0052046B" w:rsidP="0052046B">
      <w:pPr>
        <w:pStyle w:val="ListParagraph"/>
        <w:rPr>
          <w:rFonts w:ascii="Arial" w:hAnsi="Arial" w:cs="Arial"/>
        </w:rPr>
      </w:pPr>
    </w:p>
    <w:p w14:paraId="01BB9648" w14:textId="77777777" w:rsidR="00563C0D" w:rsidRDefault="00033EA3" w:rsidP="00B05A0F">
      <w:pPr>
        <w:pStyle w:val="ListParagraph"/>
        <w:numPr>
          <w:ilvl w:val="1"/>
          <w:numId w:val="63"/>
        </w:numPr>
        <w:autoSpaceDE w:val="0"/>
        <w:autoSpaceDN w:val="0"/>
        <w:adjustRightInd w:val="0"/>
        <w:rPr>
          <w:rFonts w:ascii="Arial" w:hAnsi="Arial" w:cs="Arial"/>
        </w:rPr>
      </w:pPr>
      <w:r>
        <w:rPr>
          <w:rFonts w:ascii="Arial" w:hAnsi="Arial" w:cs="Arial"/>
        </w:rPr>
        <w:t xml:space="preserve">There should be a focus on standardising IT solutions across health systems to </w:t>
      </w:r>
      <w:r w:rsidR="00891AB8">
        <w:rPr>
          <w:rFonts w:ascii="Arial" w:hAnsi="Arial" w:cs="Arial"/>
        </w:rPr>
        <w:t xml:space="preserve">simplify data sharing, ease staff movement between providers and </w:t>
      </w:r>
      <w:r>
        <w:rPr>
          <w:rFonts w:ascii="Arial" w:hAnsi="Arial" w:cs="Arial"/>
        </w:rPr>
        <w:t xml:space="preserve">reduce the </w:t>
      </w:r>
      <w:r w:rsidR="00072EF9">
        <w:rPr>
          <w:rFonts w:ascii="Arial" w:hAnsi="Arial" w:cs="Arial"/>
        </w:rPr>
        <w:t xml:space="preserve">total </w:t>
      </w:r>
      <w:r>
        <w:rPr>
          <w:rFonts w:ascii="Arial" w:hAnsi="Arial" w:cs="Arial"/>
        </w:rPr>
        <w:t>cost of ownership</w:t>
      </w:r>
      <w:r w:rsidR="00072EF9">
        <w:rPr>
          <w:rFonts w:ascii="Arial" w:hAnsi="Arial" w:cs="Arial"/>
        </w:rPr>
        <w:t>.</w:t>
      </w:r>
      <w:r>
        <w:rPr>
          <w:rFonts w:ascii="Arial" w:hAnsi="Arial" w:cs="Arial"/>
        </w:rPr>
        <w:t xml:space="preserve"> </w:t>
      </w:r>
      <w:r w:rsidR="00563C0D">
        <w:rPr>
          <w:rFonts w:ascii="Arial" w:hAnsi="Arial" w:cs="Arial"/>
        </w:rPr>
        <w:t xml:space="preserve">Investment in solutions that would result in the divergence of services, systems or infrastructure across the local health and care system should be avoided, unless a compelling rationale can be made. Specifically, </w:t>
      </w:r>
      <w:r w:rsidR="002D71FC">
        <w:rPr>
          <w:rFonts w:ascii="Arial" w:hAnsi="Arial" w:cs="Arial"/>
        </w:rPr>
        <w:t xml:space="preserve">EPR divergence in a local </w:t>
      </w:r>
      <w:r w:rsidR="00554637">
        <w:rPr>
          <w:rFonts w:ascii="Arial" w:hAnsi="Arial" w:cs="Arial"/>
        </w:rPr>
        <w:t xml:space="preserve">healthcare </w:t>
      </w:r>
      <w:r w:rsidR="002D71FC">
        <w:rPr>
          <w:rFonts w:ascii="Arial" w:hAnsi="Arial" w:cs="Arial"/>
        </w:rPr>
        <w:t>system will not be supported.</w:t>
      </w:r>
    </w:p>
    <w:p w14:paraId="1480EC33" w14:textId="77777777" w:rsidR="00563C0D" w:rsidRPr="00563C0D" w:rsidRDefault="00563C0D" w:rsidP="00563C0D">
      <w:pPr>
        <w:pStyle w:val="ListParagraph"/>
        <w:rPr>
          <w:rFonts w:ascii="Arial" w:hAnsi="Arial" w:cs="Arial"/>
        </w:rPr>
      </w:pPr>
    </w:p>
    <w:p w14:paraId="30F2222B" w14:textId="064EAE54" w:rsidR="003F2EFF" w:rsidRPr="00054970" w:rsidRDefault="002E1F9E" w:rsidP="00B05A0F">
      <w:pPr>
        <w:pStyle w:val="ListParagraph"/>
        <w:numPr>
          <w:ilvl w:val="1"/>
          <w:numId w:val="63"/>
        </w:numPr>
        <w:autoSpaceDE w:val="0"/>
        <w:autoSpaceDN w:val="0"/>
        <w:adjustRightInd w:val="0"/>
        <w:rPr>
          <w:rFonts w:ascii="Arial" w:hAnsi="Arial" w:cs="Arial"/>
        </w:rPr>
      </w:pPr>
      <w:r>
        <w:rPr>
          <w:rFonts w:ascii="Arial" w:hAnsi="Arial" w:cs="Arial"/>
        </w:rPr>
        <w:t>Early i</w:t>
      </w:r>
      <w:r w:rsidR="003F2EFF" w:rsidRPr="00054970">
        <w:rPr>
          <w:rFonts w:ascii="Arial" w:hAnsi="Arial" w:cs="Arial"/>
        </w:rPr>
        <w:t>nvestment in tactical solutions</w:t>
      </w:r>
      <w:r w:rsidR="000F7F18">
        <w:rPr>
          <w:rFonts w:ascii="Arial" w:hAnsi="Arial" w:cs="Arial"/>
        </w:rPr>
        <w:t>,</w:t>
      </w:r>
      <w:r w:rsidR="003F2EFF" w:rsidRPr="00054970">
        <w:rPr>
          <w:rFonts w:ascii="Arial" w:hAnsi="Arial" w:cs="Arial"/>
        </w:rPr>
        <w:t xml:space="preserve"> for example proposals for point-to-point information sharing solutions when system-wide solutions may be available now or in the near future</w:t>
      </w:r>
      <w:r w:rsidR="000F7F18">
        <w:rPr>
          <w:rFonts w:ascii="Arial" w:hAnsi="Arial" w:cs="Arial"/>
        </w:rPr>
        <w:t>,</w:t>
      </w:r>
      <w:r w:rsidR="00554637">
        <w:rPr>
          <w:rFonts w:ascii="Arial" w:hAnsi="Arial" w:cs="Arial"/>
        </w:rPr>
        <w:t xml:space="preserve"> should be avoided</w:t>
      </w:r>
      <w:r w:rsidR="003F2EFF">
        <w:rPr>
          <w:rFonts w:ascii="Arial" w:hAnsi="Arial" w:cs="Arial"/>
        </w:rPr>
        <w:t xml:space="preserve"> unless it addresses significant</w:t>
      </w:r>
      <w:r w:rsidR="003F2EFF" w:rsidRPr="00870C20">
        <w:rPr>
          <w:rFonts w:ascii="Arial" w:hAnsi="Arial" w:cs="Arial"/>
        </w:rPr>
        <w:t xml:space="preserve"> patient safety or business continuity risks</w:t>
      </w:r>
      <w:r w:rsidR="003F2EFF" w:rsidRPr="00054970">
        <w:rPr>
          <w:rFonts w:ascii="Arial" w:hAnsi="Arial" w:cs="Arial"/>
        </w:rPr>
        <w:t xml:space="preserve">. </w:t>
      </w:r>
    </w:p>
    <w:p w14:paraId="54159A98" w14:textId="77777777" w:rsidR="003F2EFF" w:rsidRDefault="003F2EFF" w:rsidP="00667E2A">
      <w:pPr>
        <w:pStyle w:val="ListParagraph"/>
        <w:autoSpaceDE w:val="0"/>
        <w:autoSpaceDN w:val="0"/>
        <w:adjustRightInd w:val="0"/>
        <w:ind w:left="576"/>
        <w:rPr>
          <w:rFonts w:ascii="Arial" w:hAnsi="Arial" w:cs="Arial"/>
        </w:rPr>
      </w:pPr>
    </w:p>
    <w:p w14:paraId="5BD8A44A" w14:textId="77777777" w:rsidR="00482D77" w:rsidRDefault="002D71FC" w:rsidP="00B05A0F">
      <w:pPr>
        <w:pStyle w:val="ListParagraph"/>
        <w:numPr>
          <w:ilvl w:val="1"/>
          <w:numId w:val="63"/>
        </w:numPr>
        <w:autoSpaceDE w:val="0"/>
        <w:autoSpaceDN w:val="0"/>
        <w:adjustRightInd w:val="0"/>
        <w:rPr>
          <w:rFonts w:ascii="Arial" w:hAnsi="Arial" w:cs="Arial"/>
        </w:rPr>
      </w:pPr>
      <w:r>
        <w:rPr>
          <w:rFonts w:ascii="Arial" w:hAnsi="Arial" w:cs="Arial"/>
        </w:rPr>
        <w:t xml:space="preserve">Funding will not be awarded for projects that are </w:t>
      </w:r>
      <w:r w:rsidR="00554637">
        <w:rPr>
          <w:rFonts w:ascii="Arial" w:hAnsi="Arial" w:cs="Arial"/>
        </w:rPr>
        <w:t>in receipt</w:t>
      </w:r>
      <w:r w:rsidR="00B370BD">
        <w:rPr>
          <w:rFonts w:ascii="Arial" w:hAnsi="Arial" w:cs="Arial"/>
        </w:rPr>
        <w:t xml:space="preserve"> of awards from </w:t>
      </w:r>
      <w:r>
        <w:rPr>
          <w:rFonts w:ascii="Arial" w:hAnsi="Arial" w:cs="Arial"/>
        </w:rPr>
        <w:t>other current targeted digital investment programmes, such as the ePMA</w:t>
      </w:r>
      <w:r w:rsidR="00E23EBE">
        <w:rPr>
          <w:rFonts w:ascii="Arial" w:hAnsi="Arial" w:cs="Arial"/>
        </w:rPr>
        <w:t>, LHCRE</w:t>
      </w:r>
      <w:r>
        <w:rPr>
          <w:rFonts w:ascii="Arial" w:hAnsi="Arial" w:cs="Arial"/>
        </w:rPr>
        <w:t xml:space="preserve"> and GDE programmes. Neither can it be used for the match funding requirement of such programmes. </w:t>
      </w:r>
    </w:p>
    <w:p w14:paraId="21239A61" w14:textId="77777777" w:rsidR="00482D77" w:rsidRPr="00482D77" w:rsidRDefault="00482D77" w:rsidP="00482D77">
      <w:pPr>
        <w:pStyle w:val="ListParagraph"/>
        <w:rPr>
          <w:rFonts w:ascii="Arial" w:hAnsi="Arial" w:cs="Arial"/>
        </w:rPr>
      </w:pPr>
    </w:p>
    <w:p w14:paraId="6DE63980" w14:textId="13827DAC" w:rsidR="002D71FC" w:rsidRPr="009B48E7" w:rsidRDefault="00B370BD" w:rsidP="00B05A0F">
      <w:pPr>
        <w:pStyle w:val="ListParagraph"/>
        <w:numPr>
          <w:ilvl w:val="1"/>
          <w:numId w:val="63"/>
        </w:numPr>
        <w:autoSpaceDE w:val="0"/>
        <w:autoSpaceDN w:val="0"/>
        <w:adjustRightInd w:val="0"/>
        <w:rPr>
          <w:rFonts w:ascii="Arial" w:hAnsi="Arial" w:cs="Arial"/>
        </w:rPr>
      </w:pPr>
      <w:r w:rsidRPr="009B48E7">
        <w:rPr>
          <w:rFonts w:ascii="Arial" w:hAnsi="Arial" w:cs="Arial"/>
        </w:rPr>
        <w:t>Th</w:t>
      </w:r>
      <w:r w:rsidR="002E1F9E">
        <w:rPr>
          <w:rFonts w:ascii="Arial" w:hAnsi="Arial" w:cs="Arial"/>
        </w:rPr>
        <w:t>ose</w:t>
      </w:r>
      <w:r w:rsidRPr="009B48E7">
        <w:rPr>
          <w:rFonts w:ascii="Arial" w:hAnsi="Arial" w:cs="Arial"/>
        </w:rPr>
        <w:t xml:space="preserve"> programmes are ongoing</w:t>
      </w:r>
      <w:r w:rsidR="009B48E7">
        <w:rPr>
          <w:rFonts w:ascii="Arial" w:hAnsi="Arial" w:cs="Arial"/>
        </w:rPr>
        <w:t xml:space="preserve">. </w:t>
      </w:r>
      <w:r w:rsidR="00482D77" w:rsidRPr="009B48E7">
        <w:rPr>
          <w:rFonts w:ascii="Arial" w:hAnsi="Arial" w:cs="Arial"/>
        </w:rPr>
        <w:t xml:space="preserve">STPs </w:t>
      </w:r>
      <w:r w:rsidR="009B48E7" w:rsidRPr="009B48E7">
        <w:rPr>
          <w:rFonts w:ascii="Arial" w:hAnsi="Arial" w:cs="Arial"/>
        </w:rPr>
        <w:t xml:space="preserve">may identify projects now that, in due course, overlap with </w:t>
      </w:r>
      <w:r w:rsidR="009B48E7">
        <w:rPr>
          <w:rFonts w:ascii="Arial" w:hAnsi="Arial" w:cs="Arial"/>
        </w:rPr>
        <w:t>future</w:t>
      </w:r>
      <w:r w:rsidR="009B48E7" w:rsidRPr="009B48E7">
        <w:rPr>
          <w:rFonts w:ascii="Arial" w:hAnsi="Arial" w:cs="Arial"/>
        </w:rPr>
        <w:t xml:space="preserve"> awards</w:t>
      </w:r>
      <w:r w:rsidR="009B48E7">
        <w:rPr>
          <w:rFonts w:ascii="Arial" w:hAnsi="Arial" w:cs="Arial"/>
        </w:rPr>
        <w:t xml:space="preserve"> from these programmes</w:t>
      </w:r>
      <w:r w:rsidR="009B48E7" w:rsidRPr="009B48E7">
        <w:rPr>
          <w:rFonts w:ascii="Arial" w:hAnsi="Arial" w:cs="Arial"/>
        </w:rPr>
        <w:t>.</w:t>
      </w:r>
      <w:r w:rsidR="009B48E7">
        <w:rPr>
          <w:rFonts w:ascii="Arial" w:hAnsi="Arial" w:cs="Arial"/>
        </w:rPr>
        <w:t xml:space="preserve"> At that point, i</w:t>
      </w:r>
      <w:r w:rsidR="00E93A5C" w:rsidRPr="009B48E7">
        <w:rPr>
          <w:rFonts w:ascii="Arial" w:hAnsi="Arial" w:cs="Arial"/>
        </w:rPr>
        <w:t xml:space="preserve">f the </w:t>
      </w:r>
      <w:r w:rsidR="009B48E7">
        <w:rPr>
          <w:rFonts w:ascii="Arial" w:hAnsi="Arial" w:cs="Arial"/>
        </w:rPr>
        <w:t xml:space="preserve">STP </w:t>
      </w:r>
      <w:r w:rsidR="00E93A5C" w:rsidRPr="009B48E7">
        <w:rPr>
          <w:rFonts w:ascii="Arial" w:hAnsi="Arial" w:cs="Arial"/>
        </w:rPr>
        <w:t xml:space="preserve">funding has not been committed by the Provider, then the STP will be expected to redirect it towards another project. Where it has been committed by the Provider, the award by the other programmes will be reduced </w:t>
      </w:r>
      <w:r w:rsidR="009B48E7">
        <w:rPr>
          <w:rFonts w:ascii="Arial" w:hAnsi="Arial" w:cs="Arial"/>
        </w:rPr>
        <w:t xml:space="preserve">and the balance </w:t>
      </w:r>
      <w:r w:rsidR="00E93A5C" w:rsidRPr="009B48E7">
        <w:rPr>
          <w:rFonts w:ascii="Arial" w:hAnsi="Arial" w:cs="Arial"/>
        </w:rPr>
        <w:t xml:space="preserve">made available to the STP for </w:t>
      </w:r>
      <w:r w:rsidR="009B48E7">
        <w:rPr>
          <w:rFonts w:ascii="Arial" w:hAnsi="Arial" w:cs="Arial"/>
        </w:rPr>
        <w:t>other projects</w:t>
      </w:r>
      <w:r w:rsidR="00E93A5C" w:rsidRPr="009B48E7">
        <w:rPr>
          <w:rFonts w:ascii="Arial" w:hAnsi="Arial" w:cs="Arial"/>
        </w:rPr>
        <w:t>.</w:t>
      </w:r>
    </w:p>
    <w:p w14:paraId="3438E188" w14:textId="77777777" w:rsidR="002D71FC" w:rsidRPr="002D71FC" w:rsidRDefault="002D71FC" w:rsidP="002D71FC">
      <w:pPr>
        <w:pStyle w:val="ListParagraph"/>
        <w:rPr>
          <w:rFonts w:ascii="Arial" w:hAnsi="Arial" w:cs="Arial"/>
        </w:rPr>
      </w:pPr>
    </w:p>
    <w:p w14:paraId="4AE00B42" w14:textId="77777777" w:rsidR="006966E8" w:rsidRDefault="006966E8">
      <w:pPr>
        <w:rPr>
          <w:rFonts w:ascii="Arial" w:eastAsia="Times New Roman" w:hAnsi="Arial" w:cs="Arial"/>
          <w:b/>
          <w:sz w:val="24"/>
          <w:szCs w:val="24"/>
          <w:lang w:eastAsia="en-GB"/>
        </w:rPr>
      </w:pPr>
      <w:r>
        <w:rPr>
          <w:rFonts w:ascii="Arial" w:hAnsi="Arial" w:cs="Arial"/>
          <w:b/>
        </w:rPr>
        <w:br w:type="page"/>
      </w:r>
    </w:p>
    <w:p w14:paraId="0530E5F7" w14:textId="6109AA88" w:rsidR="00883E46" w:rsidRPr="00932C88" w:rsidRDefault="00883E46" w:rsidP="0031010F">
      <w:pPr>
        <w:pStyle w:val="ListParagraph"/>
        <w:ind w:left="426"/>
        <w:rPr>
          <w:rFonts w:ascii="Arial" w:hAnsi="Arial" w:cs="Arial"/>
          <w:b/>
        </w:rPr>
      </w:pPr>
      <w:r w:rsidRPr="00932C88">
        <w:rPr>
          <w:rFonts w:ascii="Arial" w:hAnsi="Arial" w:cs="Arial"/>
          <w:b/>
        </w:rPr>
        <w:lastRenderedPageBreak/>
        <w:t>Wh</w:t>
      </w:r>
      <w:r w:rsidR="00EB67A3" w:rsidRPr="00932C88">
        <w:rPr>
          <w:rFonts w:ascii="Arial" w:hAnsi="Arial" w:cs="Arial"/>
          <w:b/>
        </w:rPr>
        <w:t xml:space="preserve">ich organisations </w:t>
      </w:r>
      <w:r w:rsidRPr="00932C88">
        <w:rPr>
          <w:rFonts w:ascii="Arial" w:hAnsi="Arial" w:cs="Arial"/>
          <w:b/>
        </w:rPr>
        <w:t xml:space="preserve">can the funding </w:t>
      </w:r>
      <w:proofErr w:type="gramStart"/>
      <w:r w:rsidRPr="00932C88">
        <w:rPr>
          <w:rFonts w:ascii="Arial" w:hAnsi="Arial" w:cs="Arial"/>
          <w:b/>
        </w:rPr>
        <w:t>be</w:t>
      </w:r>
      <w:proofErr w:type="gramEnd"/>
      <w:r w:rsidRPr="00932C88">
        <w:rPr>
          <w:rFonts w:ascii="Arial" w:hAnsi="Arial" w:cs="Arial"/>
          <w:b/>
        </w:rPr>
        <w:t xml:space="preserve"> invested in?</w:t>
      </w:r>
    </w:p>
    <w:p w14:paraId="3FF2FA1D" w14:textId="77777777" w:rsidR="00883E46" w:rsidRPr="0031010F" w:rsidRDefault="00883E46" w:rsidP="0031010F">
      <w:pPr>
        <w:pStyle w:val="ListParagraph"/>
        <w:rPr>
          <w:rFonts w:ascii="Arial" w:hAnsi="Arial" w:cs="Arial"/>
        </w:rPr>
      </w:pPr>
    </w:p>
    <w:p w14:paraId="67720C04" w14:textId="21C1B992" w:rsidR="00CF1D8B" w:rsidRDefault="00CF1D8B" w:rsidP="00B05A0F">
      <w:pPr>
        <w:pStyle w:val="ListParagraph"/>
        <w:numPr>
          <w:ilvl w:val="1"/>
          <w:numId w:val="63"/>
        </w:numPr>
        <w:autoSpaceDE w:val="0"/>
        <w:autoSpaceDN w:val="0"/>
        <w:adjustRightInd w:val="0"/>
        <w:rPr>
          <w:rFonts w:ascii="Arial" w:hAnsi="Arial" w:cs="Arial"/>
        </w:rPr>
      </w:pPr>
      <w:r>
        <w:rPr>
          <w:rFonts w:ascii="Arial" w:hAnsi="Arial" w:cs="Arial"/>
        </w:rPr>
        <w:t xml:space="preserve">Providers eligible to directly receive provider digitisation funding and </w:t>
      </w:r>
      <w:r w:rsidRPr="00EB0B52">
        <w:rPr>
          <w:rFonts w:ascii="Arial" w:hAnsi="Arial" w:cs="Arial"/>
        </w:rPr>
        <w:t>to lead projects in the</w:t>
      </w:r>
      <w:r w:rsidR="001F7FBA">
        <w:rPr>
          <w:rFonts w:ascii="Arial" w:hAnsi="Arial" w:cs="Arial"/>
        </w:rPr>
        <w:t xml:space="preserve"> STP provider digitisation portfolio</w:t>
      </w:r>
      <w:r w:rsidRPr="00EB0B52">
        <w:rPr>
          <w:rFonts w:ascii="Arial" w:hAnsi="Arial" w:cs="Arial"/>
        </w:rPr>
        <w:t xml:space="preserve"> </w:t>
      </w:r>
      <w:r>
        <w:rPr>
          <w:rFonts w:ascii="Arial" w:hAnsi="Arial" w:cs="Arial"/>
        </w:rPr>
        <w:t>include all NHS Trusts and Foundation Trusts</w:t>
      </w:r>
      <w:r w:rsidR="000B00EB">
        <w:rPr>
          <w:rFonts w:ascii="Arial" w:hAnsi="Arial" w:cs="Arial"/>
        </w:rPr>
        <w:t xml:space="preserve">. </w:t>
      </w:r>
      <w:r w:rsidR="009B48E7">
        <w:rPr>
          <w:rFonts w:ascii="Arial" w:hAnsi="Arial" w:cs="Arial"/>
        </w:rPr>
        <w:t xml:space="preserve">In addition, from </w:t>
      </w:r>
      <w:r w:rsidR="002D7D65">
        <w:rPr>
          <w:rFonts w:ascii="Arial" w:hAnsi="Arial" w:cs="Arial"/>
        </w:rPr>
        <w:t>20</w:t>
      </w:r>
      <w:r w:rsidR="009B48E7">
        <w:rPr>
          <w:rFonts w:ascii="Arial" w:hAnsi="Arial" w:cs="Arial"/>
        </w:rPr>
        <w:t xml:space="preserve">19/20, major </w:t>
      </w:r>
      <w:r>
        <w:rPr>
          <w:rFonts w:ascii="Arial" w:hAnsi="Arial" w:cs="Arial"/>
        </w:rPr>
        <w:t xml:space="preserve">providers of community and mental health services from the voluntary, community and social enterprise (VCSE) sector </w:t>
      </w:r>
      <w:r w:rsidR="000B00EB">
        <w:rPr>
          <w:rFonts w:ascii="Arial" w:hAnsi="Arial" w:cs="Arial"/>
        </w:rPr>
        <w:t>will be eligible</w:t>
      </w:r>
      <w:r w:rsidR="00B95802">
        <w:rPr>
          <w:rFonts w:ascii="Arial" w:hAnsi="Arial" w:cs="Arial"/>
        </w:rPr>
        <w:t xml:space="preserve"> with the support of their ICS/STP</w:t>
      </w:r>
      <w:r w:rsidR="00A23AB4">
        <w:rPr>
          <w:rFonts w:ascii="Arial" w:hAnsi="Arial" w:cs="Arial"/>
        </w:rPr>
        <w:t>.</w:t>
      </w:r>
    </w:p>
    <w:p w14:paraId="1D43DB5C" w14:textId="77777777" w:rsidR="00CF1D8B" w:rsidRPr="004236CA" w:rsidRDefault="00CF1D8B" w:rsidP="00CF1D8B">
      <w:pPr>
        <w:pStyle w:val="ListParagraph"/>
        <w:rPr>
          <w:rFonts w:ascii="Arial" w:hAnsi="Arial" w:cs="Arial"/>
        </w:rPr>
      </w:pPr>
    </w:p>
    <w:p w14:paraId="4F430D19" w14:textId="77777777" w:rsidR="00FB273A" w:rsidRDefault="00B80F06" w:rsidP="00B05A0F">
      <w:pPr>
        <w:pStyle w:val="ListParagraph"/>
        <w:numPr>
          <w:ilvl w:val="1"/>
          <w:numId w:val="63"/>
        </w:numPr>
        <w:autoSpaceDE w:val="0"/>
        <w:autoSpaceDN w:val="0"/>
        <w:adjustRightInd w:val="0"/>
        <w:ind w:left="567" w:hanging="567"/>
        <w:rPr>
          <w:rFonts w:ascii="Arial" w:hAnsi="Arial" w:cs="Arial"/>
        </w:rPr>
      </w:pPr>
      <w:r>
        <w:rPr>
          <w:rFonts w:ascii="Arial" w:hAnsi="Arial" w:cs="Arial"/>
        </w:rPr>
        <w:t xml:space="preserve">STPs may wish to pool funding to invest in providers who serve multiple footprints – typically </w:t>
      </w:r>
      <w:r w:rsidR="00DE1878">
        <w:rPr>
          <w:rFonts w:ascii="Arial" w:hAnsi="Arial" w:cs="Arial"/>
        </w:rPr>
        <w:t>ambulance</w:t>
      </w:r>
      <w:r>
        <w:rPr>
          <w:rFonts w:ascii="Arial" w:hAnsi="Arial" w:cs="Arial"/>
        </w:rPr>
        <w:t>, specialist or mental health</w:t>
      </w:r>
      <w:r w:rsidR="00DE1878">
        <w:rPr>
          <w:rFonts w:ascii="Arial" w:hAnsi="Arial" w:cs="Arial"/>
        </w:rPr>
        <w:t xml:space="preserve"> trusts. </w:t>
      </w:r>
    </w:p>
    <w:p w14:paraId="5A5A4628" w14:textId="77777777" w:rsidR="00B23C31" w:rsidRDefault="00B23C31" w:rsidP="00B23C31">
      <w:pPr>
        <w:pStyle w:val="DocumentDate"/>
        <w:rPr>
          <w:color w:val="auto"/>
          <w:sz w:val="24"/>
        </w:rPr>
      </w:pPr>
    </w:p>
    <w:p w14:paraId="39A80560" w14:textId="77777777" w:rsidR="00923B96" w:rsidRDefault="00B973BC" w:rsidP="00B05A0F">
      <w:pPr>
        <w:pStyle w:val="ListParagraph"/>
        <w:numPr>
          <w:ilvl w:val="1"/>
          <w:numId w:val="63"/>
        </w:numPr>
        <w:autoSpaceDE w:val="0"/>
        <w:autoSpaceDN w:val="0"/>
        <w:adjustRightInd w:val="0"/>
        <w:rPr>
          <w:rFonts w:ascii="Arial" w:hAnsi="Arial" w:cs="Arial"/>
        </w:rPr>
      </w:pPr>
      <w:r w:rsidRPr="009D1F5F">
        <w:rPr>
          <w:rFonts w:ascii="Arial" w:hAnsi="Arial" w:cs="Arial"/>
        </w:rPr>
        <w:t xml:space="preserve">The Digital Maturity Assessment </w:t>
      </w:r>
      <w:r w:rsidR="00B80F06">
        <w:rPr>
          <w:rFonts w:ascii="Arial" w:hAnsi="Arial" w:cs="Arial"/>
        </w:rPr>
        <w:t xml:space="preserve">has </w:t>
      </w:r>
      <w:r w:rsidRPr="00ED7392">
        <w:rPr>
          <w:rFonts w:ascii="Arial" w:hAnsi="Arial" w:cs="Arial"/>
        </w:rPr>
        <w:t xml:space="preserve">identified providers </w:t>
      </w:r>
      <w:r w:rsidRPr="009D1F5F">
        <w:rPr>
          <w:rFonts w:ascii="Arial" w:hAnsi="Arial" w:cs="Arial"/>
        </w:rPr>
        <w:t>with low readiness and infrastructure scores, who may not have the foundations in place for the effective and extensive deployment of digitally</w:t>
      </w:r>
      <w:r w:rsidR="000F7F18">
        <w:rPr>
          <w:rFonts w:ascii="Arial" w:hAnsi="Arial" w:cs="Arial"/>
        </w:rPr>
        <w:t xml:space="preserve"> </w:t>
      </w:r>
      <w:r w:rsidRPr="009D1F5F">
        <w:rPr>
          <w:rFonts w:ascii="Arial" w:hAnsi="Arial" w:cs="Arial"/>
        </w:rPr>
        <w:t xml:space="preserve">enabled capabilities. </w:t>
      </w:r>
      <w:r w:rsidR="00870C20">
        <w:rPr>
          <w:rFonts w:ascii="Arial" w:hAnsi="Arial" w:cs="Arial"/>
        </w:rPr>
        <w:t>Similarly, the NHS</w:t>
      </w:r>
      <w:r w:rsidR="000F7F18">
        <w:rPr>
          <w:rFonts w:ascii="Arial" w:hAnsi="Arial" w:cs="Arial"/>
        </w:rPr>
        <w:t xml:space="preserve"> </w:t>
      </w:r>
      <w:r w:rsidR="00870C20">
        <w:rPr>
          <w:rFonts w:ascii="Arial" w:hAnsi="Arial" w:cs="Arial"/>
        </w:rPr>
        <w:t>I</w:t>
      </w:r>
      <w:r w:rsidR="000F7F18">
        <w:rPr>
          <w:rFonts w:ascii="Arial" w:hAnsi="Arial" w:cs="Arial"/>
        </w:rPr>
        <w:t>mprovement</w:t>
      </w:r>
      <w:r w:rsidR="00870C20">
        <w:rPr>
          <w:rFonts w:ascii="Arial" w:hAnsi="Arial" w:cs="Arial"/>
        </w:rPr>
        <w:t xml:space="preserve"> Single Oversight Framework identifies providers facing challenges in leadership and improvement capability. </w:t>
      </w:r>
      <w:r w:rsidRPr="009D1F5F">
        <w:rPr>
          <w:rFonts w:ascii="Arial" w:hAnsi="Arial" w:cs="Arial"/>
        </w:rPr>
        <w:t>Such organisations should be considered eligible for funding, but STPs will want to give careful consideration to such investments, and look to prioritise areas where there are potential</w:t>
      </w:r>
      <w:r>
        <w:rPr>
          <w:rFonts w:ascii="Arial" w:hAnsi="Arial" w:cs="Arial"/>
        </w:rPr>
        <w:t xml:space="preserve"> </w:t>
      </w:r>
      <w:r w:rsidRPr="009D1F5F">
        <w:rPr>
          <w:rFonts w:ascii="Arial" w:hAnsi="Arial" w:cs="Arial"/>
        </w:rPr>
        <w:t>patient safety or business continuity risks</w:t>
      </w:r>
      <w:r w:rsidR="00835B9D">
        <w:rPr>
          <w:rFonts w:ascii="Arial" w:hAnsi="Arial" w:cs="Arial"/>
        </w:rPr>
        <w:t>, or where the digital maturity of one organisation is acting as a brake on the whole system</w:t>
      </w:r>
      <w:r w:rsidRPr="009D1F5F">
        <w:rPr>
          <w:rFonts w:ascii="Arial" w:hAnsi="Arial" w:cs="Arial"/>
        </w:rPr>
        <w:t>. Investment in simple and proven solution</w:t>
      </w:r>
      <w:r>
        <w:rPr>
          <w:rFonts w:ascii="Arial" w:hAnsi="Arial" w:cs="Arial"/>
        </w:rPr>
        <w:t xml:space="preserve">s will enable </w:t>
      </w:r>
      <w:r w:rsidRPr="009D1F5F">
        <w:rPr>
          <w:rFonts w:ascii="Arial" w:hAnsi="Arial" w:cs="Arial"/>
        </w:rPr>
        <w:t>the</w:t>
      </w:r>
      <w:r>
        <w:rPr>
          <w:rFonts w:ascii="Arial" w:hAnsi="Arial" w:cs="Arial"/>
        </w:rPr>
        <w:t>se</w:t>
      </w:r>
      <w:r w:rsidRPr="009D1F5F">
        <w:rPr>
          <w:rFonts w:ascii="Arial" w:hAnsi="Arial" w:cs="Arial"/>
        </w:rPr>
        <w:t xml:space="preserve"> organisation</w:t>
      </w:r>
      <w:r>
        <w:rPr>
          <w:rFonts w:ascii="Arial" w:hAnsi="Arial" w:cs="Arial"/>
        </w:rPr>
        <w:t>s</w:t>
      </w:r>
      <w:r w:rsidRPr="009D1F5F">
        <w:rPr>
          <w:rFonts w:ascii="Arial" w:hAnsi="Arial" w:cs="Arial"/>
        </w:rPr>
        <w:t xml:space="preserve"> to build a track record of delivery and essential capability in key areas </w:t>
      </w:r>
      <w:r>
        <w:rPr>
          <w:rFonts w:ascii="Arial" w:hAnsi="Arial" w:cs="Arial"/>
        </w:rPr>
        <w:t>of digitally enabled change</w:t>
      </w:r>
      <w:r w:rsidR="00054970">
        <w:rPr>
          <w:rFonts w:ascii="Arial" w:hAnsi="Arial" w:cs="Arial"/>
        </w:rPr>
        <w:t>,</w:t>
      </w:r>
      <w:r>
        <w:rPr>
          <w:rFonts w:ascii="Arial" w:hAnsi="Arial" w:cs="Arial"/>
        </w:rPr>
        <w:t xml:space="preserve"> </w:t>
      </w:r>
      <w:r w:rsidRPr="009D1F5F">
        <w:rPr>
          <w:rFonts w:ascii="Arial" w:hAnsi="Arial" w:cs="Arial"/>
        </w:rPr>
        <w:t>such as clinical leadership, business transformation</w:t>
      </w:r>
      <w:r>
        <w:rPr>
          <w:rFonts w:ascii="Arial" w:hAnsi="Arial" w:cs="Arial"/>
        </w:rPr>
        <w:t xml:space="preserve"> and</w:t>
      </w:r>
      <w:r w:rsidRPr="009D1F5F">
        <w:rPr>
          <w:rFonts w:ascii="Arial" w:hAnsi="Arial" w:cs="Arial"/>
        </w:rPr>
        <w:t xml:space="preserve"> informatics expertise.</w:t>
      </w:r>
      <w:r w:rsidR="007F19B7">
        <w:rPr>
          <w:rFonts w:ascii="Arial" w:hAnsi="Arial" w:cs="Arial"/>
        </w:rPr>
        <w:t xml:space="preserve"> </w:t>
      </w:r>
    </w:p>
    <w:p w14:paraId="7DE30F6F" w14:textId="77777777" w:rsidR="008460DE" w:rsidRDefault="008460DE" w:rsidP="008460DE">
      <w:pPr>
        <w:pStyle w:val="ListParagraph"/>
        <w:autoSpaceDE w:val="0"/>
        <w:autoSpaceDN w:val="0"/>
        <w:adjustRightInd w:val="0"/>
        <w:ind w:left="426"/>
        <w:rPr>
          <w:rFonts w:ascii="Arial" w:hAnsi="Arial" w:cs="Arial"/>
          <w:b/>
          <w:sz w:val="28"/>
        </w:rPr>
      </w:pPr>
    </w:p>
    <w:p w14:paraId="0AD4142E" w14:textId="77777777" w:rsidR="008460DE" w:rsidRPr="00932C88" w:rsidRDefault="008460DE" w:rsidP="008460DE">
      <w:pPr>
        <w:pStyle w:val="ListParagraph"/>
        <w:autoSpaceDE w:val="0"/>
        <w:autoSpaceDN w:val="0"/>
        <w:adjustRightInd w:val="0"/>
        <w:ind w:left="426"/>
        <w:rPr>
          <w:rFonts w:ascii="Arial" w:hAnsi="Arial" w:cs="Arial"/>
          <w:b/>
        </w:rPr>
      </w:pPr>
      <w:r w:rsidRPr="00932C88">
        <w:rPr>
          <w:rFonts w:ascii="Arial" w:hAnsi="Arial" w:cs="Arial"/>
          <w:b/>
        </w:rPr>
        <w:t>How can funding be spent?</w:t>
      </w:r>
    </w:p>
    <w:p w14:paraId="0516F01F" w14:textId="77777777" w:rsidR="008460DE" w:rsidRPr="004250BF" w:rsidRDefault="008460DE" w:rsidP="008460DE">
      <w:pPr>
        <w:pStyle w:val="ListParagraph"/>
        <w:autoSpaceDE w:val="0"/>
        <w:autoSpaceDN w:val="0"/>
        <w:adjustRightInd w:val="0"/>
        <w:ind w:left="426"/>
        <w:rPr>
          <w:rFonts w:ascii="Arial" w:hAnsi="Arial" w:cs="Arial"/>
          <w:b/>
          <w:sz w:val="28"/>
        </w:rPr>
      </w:pPr>
    </w:p>
    <w:p w14:paraId="5C068CB5" w14:textId="066B10C2" w:rsidR="008460DE" w:rsidRDefault="008460DE" w:rsidP="00B05A0F">
      <w:pPr>
        <w:pStyle w:val="ListParagraph"/>
        <w:numPr>
          <w:ilvl w:val="1"/>
          <w:numId w:val="63"/>
        </w:numPr>
        <w:autoSpaceDE w:val="0"/>
        <w:autoSpaceDN w:val="0"/>
        <w:adjustRightInd w:val="0"/>
        <w:rPr>
          <w:rFonts w:ascii="Arial" w:hAnsi="Arial" w:cs="Arial"/>
        </w:rPr>
      </w:pPr>
      <w:r>
        <w:rPr>
          <w:rFonts w:ascii="Arial" w:hAnsi="Arial" w:cs="Arial"/>
        </w:rPr>
        <w:t xml:space="preserve">Funding is only available </w:t>
      </w:r>
      <w:r w:rsidR="001B503A">
        <w:rPr>
          <w:rFonts w:ascii="Arial" w:hAnsi="Arial" w:cs="Arial"/>
        </w:rPr>
        <w:t xml:space="preserve">initially </w:t>
      </w:r>
      <w:r>
        <w:rPr>
          <w:rFonts w:ascii="Arial" w:hAnsi="Arial" w:cs="Arial"/>
        </w:rPr>
        <w:t xml:space="preserve">to be spent on items that can be classified as capital expenditure according to the recipient’s local accounting rules. </w:t>
      </w:r>
      <w:r w:rsidR="00B60634" w:rsidRPr="00B60634">
        <w:rPr>
          <w:rFonts w:ascii="Arial" w:hAnsi="Arial" w:cs="Arial"/>
        </w:rPr>
        <w:t xml:space="preserve">Funding awards can be spent on hardware, software, infrastructure and costs associated with project management, implementation and business change, to the extent that these costs can be capitalised. Where VAT cannot be reclaimed on a </w:t>
      </w:r>
      <w:r w:rsidR="00B60634">
        <w:rPr>
          <w:rFonts w:ascii="Arial" w:hAnsi="Arial" w:cs="Arial"/>
        </w:rPr>
        <w:t>p</w:t>
      </w:r>
      <w:r w:rsidR="00B60634" w:rsidRPr="00B60634">
        <w:rPr>
          <w:rFonts w:ascii="Arial" w:hAnsi="Arial" w:cs="Arial"/>
        </w:rPr>
        <w:t>rocurement, the award can be used to cover this.</w:t>
      </w:r>
    </w:p>
    <w:p w14:paraId="0250E57B" w14:textId="77777777" w:rsidR="008460DE" w:rsidRDefault="008460DE" w:rsidP="008460DE">
      <w:pPr>
        <w:pStyle w:val="ListParagraph"/>
        <w:autoSpaceDE w:val="0"/>
        <w:autoSpaceDN w:val="0"/>
        <w:adjustRightInd w:val="0"/>
        <w:ind w:left="567"/>
        <w:rPr>
          <w:rFonts w:ascii="Arial" w:hAnsi="Arial" w:cs="Arial"/>
        </w:rPr>
      </w:pPr>
    </w:p>
    <w:p w14:paraId="74805E78" w14:textId="77777777" w:rsidR="008460DE" w:rsidRPr="00B60634" w:rsidRDefault="008460DE" w:rsidP="00B05A0F">
      <w:pPr>
        <w:pStyle w:val="ListParagraph"/>
        <w:numPr>
          <w:ilvl w:val="1"/>
          <w:numId w:val="63"/>
        </w:numPr>
        <w:autoSpaceDE w:val="0"/>
        <w:autoSpaceDN w:val="0"/>
        <w:adjustRightInd w:val="0"/>
        <w:rPr>
          <w:rFonts w:ascii="Arial" w:hAnsi="Arial" w:cs="Arial"/>
        </w:rPr>
      </w:pPr>
      <w:r>
        <w:rPr>
          <w:rFonts w:ascii="Arial" w:hAnsi="Arial" w:cs="Arial"/>
        </w:rPr>
        <w:t xml:space="preserve">Organisations who receive provider digitisation investment must own any assets procured with the funding, and will be responsible for any consequential costs arising from their award and any ongoing costs arising from the initial investment. </w:t>
      </w:r>
      <w:r w:rsidR="00B60634">
        <w:rPr>
          <w:rFonts w:ascii="Arial" w:hAnsi="Arial" w:cs="Arial"/>
        </w:rPr>
        <w:t>Such costs may include capital charges and depreciation. Funding awards cannot be used to cover such costs.</w:t>
      </w:r>
    </w:p>
    <w:p w14:paraId="7BB52A0A" w14:textId="77777777" w:rsidR="008460DE" w:rsidRPr="00667E2A" w:rsidRDefault="008460DE" w:rsidP="008460DE">
      <w:pPr>
        <w:pStyle w:val="ListParagraph"/>
        <w:rPr>
          <w:rFonts w:ascii="Arial" w:hAnsi="Arial" w:cs="Arial"/>
        </w:rPr>
      </w:pPr>
    </w:p>
    <w:p w14:paraId="701AA98E" w14:textId="77777777" w:rsidR="003E3E25" w:rsidRPr="00932C88" w:rsidRDefault="003E3E25" w:rsidP="003E3E25">
      <w:pPr>
        <w:pStyle w:val="ListParagraph"/>
        <w:autoSpaceDE w:val="0"/>
        <w:autoSpaceDN w:val="0"/>
        <w:adjustRightInd w:val="0"/>
        <w:ind w:left="426"/>
        <w:rPr>
          <w:rFonts w:ascii="Arial" w:hAnsi="Arial" w:cs="Arial"/>
          <w:b/>
        </w:rPr>
      </w:pPr>
      <w:r w:rsidRPr="00932C88">
        <w:rPr>
          <w:rFonts w:ascii="Arial" w:hAnsi="Arial" w:cs="Arial"/>
          <w:b/>
        </w:rPr>
        <w:t xml:space="preserve">How </w:t>
      </w:r>
      <w:r w:rsidR="00FF166B" w:rsidRPr="00932C88">
        <w:rPr>
          <w:rFonts w:ascii="Arial" w:hAnsi="Arial" w:cs="Arial"/>
          <w:b/>
        </w:rPr>
        <w:t xml:space="preserve">could / </w:t>
      </w:r>
      <w:r w:rsidRPr="00932C88">
        <w:rPr>
          <w:rFonts w:ascii="Arial" w:hAnsi="Arial" w:cs="Arial"/>
          <w:b/>
        </w:rPr>
        <w:t>should proposed projects be scoped?</w:t>
      </w:r>
    </w:p>
    <w:p w14:paraId="49E7AA64" w14:textId="77777777" w:rsidR="003E3E25" w:rsidRPr="004250BF" w:rsidRDefault="003E3E25" w:rsidP="003E3E25">
      <w:pPr>
        <w:pStyle w:val="ListParagraph"/>
        <w:autoSpaceDE w:val="0"/>
        <w:autoSpaceDN w:val="0"/>
        <w:adjustRightInd w:val="0"/>
        <w:ind w:left="426"/>
        <w:rPr>
          <w:rFonts w:ascii="Arial" w:hAnsi="Arial" w:cs="Arial"/>
          <w:b/>
          <w:sz w:val="28"/>
        </w:rPr>
      </w:pPr>
    </w:p>
    <w:p w14:paraId="57809744" w14:textId="77777777" w:rsidR="00C9173E" w:rsidRDefault="00C9173E" w:rsidP="00B05A0F">
      <w:pPr>
        <w:pStyle w:val="ListParagraph"/>
        <w:numPr>
          <w:ilvl w:val="1"/>
          <w:numId w:val="63"/>
        </w:numPr>
        <w:autoSpaceDE w:val="0"/>
        <w:autoSpaceDN w:val="0"/>
        <w:adjustRightInd w:val="0"/>
        <w:rPr>
          <w:rFonts w:ascii="Arial" w:hAnsi="Arial" w:cs="Arial"/>
        </w:rPr>
      </w:pPr>
      <w:r>
        <w:rPr>
          <w:rFonts w:ascii="Arial" w:hAnsi="Arial" w:cs="Arial"/>
        </w:rPr>
        <w:t xml:space="preserve">The annual total allocation for an STP must be spent (by Providers) in-year, it cannot be rolled over. (Note that this is not requiring projects to ‘go live’ by the end of the given year, although clearly, procuring assets without deploying them for a number of months is not appropriate). </w:t>
      </w:r>
    </w:p>
    <w:p w14:paraId="7B37FCD7" w14:textId="77777777" w:rsidR="00C9173E" w:rsidRPr="00F14E21" w:rsidRDefault="00C9173E" w:rsidP="00C9173E">
      <w:pPr>
        <w:pStyle w:val="ListParagraph"/>
        <w:rPr>
          <w:rFonts w:ascii="Arial" w:hAnsi="Arial" w:cs="Arial"/>
        </w:rPr>
      </w:pPr>
    </w:p>
    <w:p w14:paraId="2DEBCEF3" w14:textId="77777777" w:rsidR="00C9173E" w:rsidRDefault="00C9173E" w:rsidP="00B05A0F">
      <w:pPr>
        <w:pStyle w:val="ListParagraph"/>
        <w:numPr>
          <w:ilvl w:val="1"/>
          <w:numId w:val="63"/>
        </w:numPr>
        <w:autoSpaceDE w:val="0"/>
        <w:autoSpaceDN w:val="0"/>
        <w:adjustRightInd w:val="0"/>
        <w:rPr>
          <w:rFonts w:ascii="Arial" w:hAnsi="Arial" w:cs="Arial"/>
        </w:rPr>
      </w:pPr>
      <w:r>
        <w:rPr>
          <w:rFonts w:ascii="Arial" w:hAnsi="Arial" w:cs="Arial"/>
        </w:rPr>
        <w:t>Projects can be multi-phased, and spend funding in multiple years.</w:t>
      </w:r>
    </w:p>
    <w:p w14:paraId="4A6F0A15" w14:textId="77777777" w:rsidR="00C9173E" w:rsidRDefault="00C9173E" w:rsidP="00C9173E">
      <w:pPr>
        <w:pStyle w:val="ListParagraph"/>
        <w:autoSpaceDE w:val="0"/>
        <w:autoSpaceDN w:val="0"/>
        <w:adjustRightInd w:val="0"/>
        <w:ind w:left="576"/>
        <w:rPr>
          <w:rFonts w:ascii="Arial" w:hAnsi="Arial" w:cs="Arial"/>
        </w:rPr>
      </w:pPr>
    </w:p>
    <w:p w14:paraId="20E29E40" w14:textId="5FACDFF2" w:rsidR="003E3E25" w:rsidRDefault="00B54350" w:rsidP="00B05A0F">
      <w:pPr>
        <w:pStyle w:val="ListParagraph"/>
        <w:numPr>
          <w:ilvl w:val="1"/>
          <w:numId w:val="63"/>
        </w:numPr>
        <w:autoSpaceDE w:val="0"/>
        <w:autoSpaceDN w:val="0"/>
        <w:adjustRightInd w:val="0"/>
        <w:rPr>
          <w:rFonts w:ascii="Arial" w:hAnsi="Arial" w:cs="Arial"/>
        </w:rPr>
      </w:pPr>
      <w:r>
        <w:rPr>
          <w:rFonts w:ascii="Arial" w:hAnsi="Arial" w:cs="Arial"/>
        </w:rPr>
        <w:lastRenderedPageBreak/>
        <w:t xml:space="preserve">National investment needs to be match funded locally. In practice, this is likely </w:t>
      </w:r>
      <w:r w:rsidR="00F059C3">
        <w:rPr>
          <w:rFonts w:ascii="Arial" w:hAnsi="Arial" w:cs="Arial"/>
        </w:rPr>
        <w:t>to take the form of investment in kind, for example in the form of released staff time to support implementation.</w:t>
      </w:r>
      <w:r w:rsidR="00F059C3" w:rsidDel="00F059C3">
        <w:rPr>
          <w:rFonts w:ascii="Arial" w:hAnsi="Arial" w:cs="Arial"/>
        </w:rPr>
        <w:t xml:space="preserve"> </w:t>
      </w:r>
      <w:r w:rsidR="003E3E25">
        <w:rPr>
          <w:rFonts w:ascii="Arial" w:hAnsi="Arial" w:cs="Arial"/>
        </w:rPr>
        <w:t xml:space="preserve"> </w:t>
      </w:r>
    </w:p>
    <w:p w14:paraId="30DDAFD4" w14:textId="77777777" w:rsidR="008921C9" w:rsidRDefault="008921C9" w:rsidP="00885806">
      <w:pPr>
        <w:pStyle w:val="ListParagraph"/>
        <w:autoSpaceDE w:val="0"/>
        <w:autoSpaceDN w:val="0"/>
        <w:adjustRightInd w:val="0"/>
        <w:ind w:left="576"/>
        <w:rPr>
          <w:rFonts w:ascii="Arial" w:hAnsi="Arial" w:cs="Arial"/>
        </w:rPr>
      </w:pPr>
    </w:p>
    <w:p w14:paraId="43AF22CB" w14:textId="77777777" w:rsidR="00282E80" w:rsidRPr="008460DE" w:rsidRDefault="003E3E25" w:rsidP="00B05A0F">
      <w:pPr>
        <w:pStyle w:val="ListParagraph"/>
        <w:numPr>
          <w:ilvl w:val="1"/>
          <w:numId w:val="63"/>
        </w:numPr>
        <w:autoSpaceDE w:val="0"/>
        <w:autoSpaceDN w:val="0"/>
        <w:adjustRightInd w:val="0"/>
        <w:rPr>
          <w:rFonts w:ascii="Arial" w:hAnsi="Arial" w:cs="Arial"/>
        </w:rPr>
      </w:pPr>
      <w:r w:rsidRPr="008460DE">
        <w:rPr>
          <w:rFonts w:ascii="Arial" w:hAnsi="Arial" w:cs="Arial"/>
        </w:rPr>
        <w:t>Each project in an STP portfolio must have a single lead provider who will be accountable to NHS</w:t>
      </w:r>
      <w:r w:rsidR="000F7F18" w:rsidRPr="008460DE">
        <w:rPr>
          <w:rFonts w:ascii="Arial" w:hAnsi="Arial" w:cs="Arial"/>
        </w:rPr>
        <w:t xml:space="preserve"> </w:t>
      </w:r>
      <w:r w:rsidRPr="008460DE">
        <w:rPr>
          <w:rFonts w:ascii="Arial" w:hAnsi="Arial" w:cs="Arial"/>
        </w:rPr>
        <w:t>E</w:t>
      </w:r>
      <w:r w:rsidR="000F7F18" w:rsidRPr="008460DE">
        <w:rPr>
          <w:rFonts w:ascii="Arial" w:hAnsi="Arial" w:cs="Arial"/>
        </w:rPr>
        <w:t>ngland</w:t>
      </w:r>
      <w:r w:rsidRPr="008460DE">
        <w:rPr>
          <w:rFonts w:ascii="Arial" w:hAnsi="Arial" w:cs="Arial"/>
        </w:rPr>
        <w:t xml:space="preserve"> for the project approach, spend and outcome delivery. Some projects, particularly around information sharing, may be cross-organisation (or even cross-STP), but a lead provider must be identified and will be held accountable. This will require sufficiently inclusive governance arrangements to support delivery of the project.</w:t>
      </w:r>
      <w:r w:rsidR="008460DE">
        <w:rPr>
          <w:rFonts w:ascii="Arial" w:hAnsi="Arial" w:cs="Arial"/>
        </w:rPr>
        <w:t xml:space="preserve"> Or</w:t>
      </w:r>
      <w:r w:rsidR="008460DE" w:rsidRPr="008460DE">
        <w:rPr>
          <w:rFonts w:ascii="Arial" w:hAnsi="Arial" w:cs="Arial"/>
        </w:rPr>
        <w:t xml:space="preserve">ganisations </w:t>
      </w:r>
      <w:r w:rsidR="008460DE">
        <w:rPr>
          <w:rFonts w:ascii="Arial" w:hAnsi="Arial" w:cs="Arial"/>
        </w:rPr>
        <w:t xml:space="preserve">impacted by a project </w:t>
      </w:r>
      <w:r w:rsidR="00282E80" w:rsidRPr="008460DE">
        <w:rPr>
          <w:rFonts w:ascii="Arial" w:hAnsi="Arial" w:cs="Arial"/>
        </w:rPr>
        <w:t xml:space="preserve">may extend beyond those eligible to receive provider digitisation funding, as defined </w:t>
      </w:r>
      <w:r w:rsidR="008460DE">
        <w:rPr>
          <w:rFonts w:ascii="Arial" w:hAnsi="Arial" w:cs="Arial"/>
        </w:rPr>
        <w:t>above</w:t>
      </w:r>
      <w:r w:rsidR="00282E80" w:rsidRPr="008460DE">
        <w:rPr>
          <w:rFonts w:ascii="Arial" w:hAnsi="Arial" w:cs="Arial"/>
        </w:rPr>
        <w:t>. For example, a project would be valid that introduces electronic discharge notices from an NHS secondary care provider to a for-profit private provider of community services, a local authority social care team and private care homes, although provider digitisation investment could only go towards assets owned by the NHS secondary care provider. The lead provider may set up arrangements to provide services or ‘lease’ assets to other local organisations.</w:t>
      </w:r>
    </w:p>
    <w:p w14:paraId="30D6AA3A" w14:textId="77777777" w:rsidR="00282E80" w:rsidRDefault="00282E80" w:rsidP="00883E46">
      <w:pPr>
        <w:pStyle w:val="ListParagraph"/>
        <w:autoSpaceDE w:val="0"/>
        <w:autoSpaceDN w:val="0"/>
        <w:adjustRightInd w:val="0"/>
        <w:ind w:left="426"/>
        <w:rPr>
          <w:rFonts w:ascii="Arial" w:hAnsi="Arial" w:cs="Arial"/>
          <w:b/>
          <w:sz w:val="28"/>
        </w:rPr>
      </w:pPr>
    </w:p>
    <w:p w14:paraId="364D3CCD" w14:textId="77777777" w:rsidR="00282E80" w:rsidRDefault="00282E80" w:rsidP="00B05A0F">
      <w:pPr>
        <w:pStyle w:val="ListParagraph"/>
        <w:numPr>
          <w:ilvl w:val="1"/>
          <w:numId w:val="63"/>
        </w:numPr>
        <w:autoSpaceDE w:val="0"/>
        <w:autoSpaceDN w:val="0"/>
        <w:adjustRightInd w:val="0"/>
        <w:rPr>
          <w:rFonts w:ascii="Arial" w:hAnsi="Arial" w:cs="Arial"/>
        </w:rPr>
      </w:pPr>
      <w:r w:rsidRPr="00C6655B">
        <w:rPr>
          <w:rFonts w:ascii="Arial" w:hAnsi="Arial" w:cs="Arial"/>
        </w:rPr>
        <w:t xml:space="preserve">Individual projects may be part of broader transformation programmes, but awarded funding </w:t>
      </w:r>
      <w:r>
        <w:rPr>
          <w:rFonts w:ascii="Arial" w:hAnsi="Arial" w:cs="Arial"/>
        </w:rPr>
        <w:t>can</w:t>
      </w:r>
      <w:r w:rsidRPr="00C6655B">
        <w:rPr>
          <w:rFonts w:ascii="Arial" w:hAnsi="Arial" w:cs="Arial"/>
        </w:rPr>
        <w:t xml:space="preserve">not be used for other capital investment </w:t>
      </w:r>
      <w:r>
        <w:rPr>
          <w:rFonts w:ascii="Arial" w:hAnsi="Arial" w:cs="Arial"/>
        </w:rPr>
        <w:t xml:space="preserve">priorities </w:t>
      </w:r>
      <w:r w:rsidRPr="00C6655B">
        <w:rPr>
          <w:rFonts w:ascii="Arial" w:hAnsi="Arial" w:cs="Arial"/>
        </w:rPr>
        <w:t>beyond digital</w:t>
      </w:r>
      <w:r>
        <w:rPr>
          <w:rFonts w:ascii="Arial" w:hAnsi="Arial" w:cs="Arial"/>
        </w:rPr>
        <w:t>.</w:t>
      </w:r>
    </w:p>
    <w:p w14:paraId="4C22541F" w14:textId="77777777" w:rsidR="00282E80" w:rsidRPr="009F4A7A" w:rsidRDefault="00282E80" w:rsidP="00282E80">
      <w:pPr>
        <w:pStyle w:val="ListParagraph"/>
        <w:rPr>
          <w:rFonts w:ascii="Arial" w:hAnsi="Arial" w:cs="Arial"/>
        </w:rPr>
      </w:pPr>
    </w:p>
    <w:p w14:paraId="5C020652" w14:textId="77777777" w:rsidR="00FF166B" w:rsidRDefault="00FF166B" w:rsidP="00B05A0F">
      <w:pPr>
        <w:pStyle w:val="ListParagraph"/>
        <w:numPr>
          <w:ilvl w:val="1"/>
          <w:numId w:val="63"/>
        </w:numPr>
        <w:autoSpaceDE w:val="0"/>
        <w:autoSpaceDN w:val="0"/>
        <w:adjustRightInd w:val="0"/>
        <w:rPr>
          <w:rFonts w:ascii="Arial" w:hAnsi="Arial" w:cs="Arial"/>
        </w:rPr>
      </w:pPr>
      <w:r>
        <w:rPr>
          <w:rFonts w:ascii="Arial" w:hAnsi="Arial" w:cs="Arial"/>
        </w:rPr>
        <w:t xml:space="preserve">Projects in the portfolio should be scoped to incorporate any business change, implementation and support activities required to deliver the associated potential benefits. </w:t>
      </w:r>
      <w:r w:rsidRPr="000D77A7">
        <w:rPr>
          <w:rFonts w:ascii="Arial" w:hAnsi="Arial" w:cs="Arial"/>
        </w:rPr>
        <w:t>Providers should, where appropriate, fully exploit any op</w:t>
      </w:r>
      <w:r>
        <w:rPr>
          <w:rFonts w:ascii="Arial" w:hAnsi="Arial" w:cs="Arial"/>
        </w:rPr>
        <w:t xml:space="preserve">portunity to capitalise project </w:t>
      </w:r>
      <w:r w:rsidRPr="000D77A7">
        <w:rPr>
          <w:rFonts w:ascii="Arial" w:hAnsi="Arial" w:cs="Arial"/>
        </w:rPr>
        <w:t>related costs.</w:t>
      </w:r>
    </w:p>
    <w:p w14:paraId="54B9688E" w14:textId="77777777" w:rsidR="00FF166B" w:rsidRPr="00923B96" w:rsidRDefault="00FF166B" w:rsidP="00FF166B">
      <w:pPr>
        <w:pStyle w:val="ListParagraph"/>
        <w:rPr>
          <w:rFonts w:ascii="Arial" w:hAnsi="Arial" w:cs="Arial"/>
        </w:rPr>
      </w:pPr>
    </w:p>
    <w:p w14:paraId="67ECF796" w14:textId="77777777" w:rsidR="00876206" w:rsidRPr="00876206" w:rsidRDefault="00876206" w:rsidP="00876206">
      <w:pPr>
        <w:pStyle w:val="ListParagraph"/>
        <w:rPr>
          <w:rFonts w:ascii="Arial" w:hAnsi="Arial" w:cs="Arial"/>
        </w:rPr>
      </w:pPr>
    </w:p>
    <w:p w14:paraId="08E313D5" w14:textId="77777777" w:rsidR="004D5AC0" w:rsidRPr="004D5AC0" w:rsidRDefault="004D5AC0" w:rsidP="004D5AC0">
      <w:pPr>
        <w:pStyle w:val="ListParagraph"/>
        <w:rPr>
          <w:rFonts w:ascii="Arial" w:hAnsi="Arial" w:cs="Arial"/>
        </w:rPr>
      </w:pPr>
    </w:p>
    <w:p w14:paraId="0A7C79CB" w14:textId="77777777" w:rsidR="008E585B" w:rsidRDefault="008E585B">
      <w:pPr>
        <w:rPr>
          <w:rFonts w:ascii="Arial" w:eastAsia="Times New Roman" w:hAnsi="Arial" w:cs="Arial"/>
          <w:b/>
          <w:bCs/>
          <w:color w:val="0072C6"/>
          <w:kern w:val="32"/>
          <w:sz w:val="32"/>
          <w:szCs w:val="32"/>
        </w:rPr>
      </w:pPr>
    </w:p>
    <w:p w14:paraId="6459290D" w14:textId="77777777" w:rsidR="00282E80" w:rsidRDefault="00282E80">
      <w:pPr>
        <w:rPr>
          <w:rFonts w:ascii="Arial" w:eastAsia="Times New Roman" w:hAnsi="Arial" w:cs="Arial"/>
          <w:b/>
          <w:bCs/>
          <w:color w:val="0072C6"/>
          <w:kern w:val="32"/>
          <w:sz w:val="32"/>
          <w:szCs w:val="32"/>
        </w:rPr>
      </w:pPr>
      <w:r>
        <w:rPr>
          <w:rFonts w:ascii="Arial" w:eastAsia="Times New Roman" w:hAnsi="Arial" w:cs="Arial"/>
          <w:b/>
          <w:bCs/>
          <w:color w:val="0072C6"/>
          <w:kern w:val="32"/>
          <w:sz w:val="32"/>
          <w:szCs w:val="32"/>
        </w:rPr>
        <w:br w:type="page"/>
      </w:r>
    </w:p>
    <w:p w14:paraId="4B88BC6D" w14:textId="77777777" w:rsidR="00466B6D" w:rsidRPr="00932C88" w:rsidRDefault="00466B6D" w:rsidP="00B05A0F">
      <w:pPr>
        <w:numPr>
          <w:ilvl w:val="0"/>
          <w:numId w:val="63"/>
        </w:numPr>
        <w:spacing w:after="0" w:line="240" w:lineRule="auto"/>
        <w:outlineLvl w:val="0"/>
        <w:rPr>
          <w:rFonts w:ascii="Arial" w:eastAsia="Times New Roman" w:hAnsi="Arial" w:cs="Arial"/>
          <w:b/>
          <w:bCs/>
          <w:color w:val="0072C6"/>
          <w:kern w:val="32"/>
          <w:sz w:val="28"/>
          <w:szCs w:val="32"/>
        </w:rPr>
      </w:pPr>
      <w:bookmarkStart w:id="7" w:name="_Toc521080042"/>
      <w:r w:rsidRPr="00932C88">
        <w:rPr>
          <w:rFonts w:ascii="Arial" w:eastAsia="Times New Roman" w:hAnsi="Arial" w:cs="Arial"/>
          <w:b/>
          <w:bCs/>
          <w:color w:val="0072C6"/>
          <w:kern w:val="32"/>
          <w:sz w:val="28"/>
          <w:szCs w:val="32"/>
        </w:rPr>
        <w:lastRenderedPageBreak/>
        <w:t xml:space="preserve">Prioritisation </w:t>
      </w:r>
      <w:r w:rsidR="00FA399D" w:rsidRPr="00932C88">
        <w:rPr>
          <w:rFonts w:ascii="Arial" w:eastAsia="Times New Roman" w:hAnsi="Arial" w:cs="Arial"/>
          <w:b/>
          <w:bCs/>
          <w:color w:val="0072C6"/>
          <w:kern w:val="32"/>
          <w:sz w:val="28"/>
          <w:szCs w:val="32"/>
        </w:rPr>
        <w:t xml:space="preserve">and phasing </w:t>
      </w:r>
      <w:r w:rsidRPr="00932C88">
        <w:rPr>
          <w:rFonts w:ascii="Arial" w:eastAsia="Times New Roman" w:hAnsi="Arial" w:cs="Arial"/>
          <w:b/>
          <w:bCs/>
          <w:color w:val="0072C6"/>
          <w:kern w:val="32"/>
          <w:sz w:val="28"/>
          <w:szCs w:val="32"/>
        </w:rPr>
        <w:t>guidelines</w:t>
      </w:r>
      <w:bookmarkEnd w:id="7"/>
    </w:p>
    <w:p w14:paraId="57B1803B" w14:textId="77777777" w:rsidR="00466B6D" w:rsidRDefault="00466B6D" w:rsidP="00466B6D">
      <w:pPr>
        <w:pStyle w:val="DocumentDate"/>
        <w:rPr>
          <w:color w:val="auto"/>
          <w:sz w:val="24"/>
        </w:rPr>
      </w:pPr>
    </w:p>
    <w:p w14:paraId="4F914115" w14:textId="77777777" w:rsidR="00754018" w:rsidRDefault="00754018" w:rsidP="00B05A0F">
      <w:pPr>
        <w:pStyle w:val="ListParagraph"/>
        <w:numPr>
          <w:ilvl w:val="1"/>
          <w:numId w:val="63"/>
        </w:numPr>
        <w:autoSpaceDE w:val="0"/>
        <w:autoSpaceDN w:val="0"/>
        <w:adjustRightInd w:val="0"/>
        <w:rPr>
          <w:rFonts w:ascii="Arial" w:hAnsi="Arial" w:cs="Arial"/>
        </w:rPr>
      </w:pPr>
      <w:r>
        <w:rPr>
          <w:rFonts w:ascii="Arial" w:hAnsi="Arial" w:cs="Arial"/>
        </w:rPr>
        <w:t>STP</w:t>
      </w:r>
      <w:r w:rsidR="00F461B7">
        <w:rPr>
          <w:rFonts w:ascii="Arial" w:hAnsi="Arial" w:cs="Arial"/>
        </w:rPr>
        <w:t>/ICS</w:t>
      </w:r>
      <w:r>
        <w:rPr>
          <w:rFonts w:ascii="Arial" w:hAnsi="Arial" w:cs="Arial"/>
        </w:rPr>
        <w:t xml:space="preserve">s are anticipated to start the process with a long-list </w:t>
      </w:r>
      <w:r w:rsidR="007A28FB">
        <w:rPr>
          <w:rFonts w:ascii="Arial" w:hAnsi="Arial" w:cs="Arial"/>
        </w:rPr>
        <w:t xml:space="preserve">of potential projects, which may arise from local transformation plans, Local Digital Roadmaps and digital maturity assessments. </w:t>
      </w:r>
    </w:p>
    <w:p w14:paraId="127AA0D1" w14:textId="77777777" w:rsidR="00754018" w:rsidRDefault="00754018" w:rsidP="00667E2A">
      <w:pPr>
        <w:pStyle w:val="ListParagraph"/>
        <w:autoSpaceDE w:val="0"/>
        <w:autoSpaceDN w:val="0"/>
        <w:adjustRightInd w:val="0"/>
        <w:ind w:left="576"/>
        <w:rPr>
          <w:rFonts w:ascii="Arial" w:hAnsi="Arial" w:cs="Arial"/>
        </w:rPr>
      </w:pPr>
    </w:p>
    <w:p w14:paraId="057831C5" w14:textId="50C734D4" w:rsidR="00DC099C" w:rsidRDefault="008921C9" w:rsidP="00B05A0F">
      <w:pPr>
        <w:pStyle w:val="ListParagraph"/>
        <w:numPr>
          <w:ilvl w:val="1"/>
          <w:numId w:val="63"/>
        </w:numPr>
        <w:autoSpaceDE w:val="0"/>
        <w:autoSpaceDN w:val="0"/>
        <w:adjustRightInd w:val="0"/>
        <w:rPr>
          <w:rFonts w:ascii="Arial" w:hAnsi="Arial" w:cs="Arial"/>
        </w:rPr>
      </w:pPr>
      <w:r>
        <w:rPr>
          <w:rFonts w:ascii="Arial" w:hAnsi="Arial" w:cs="Arial"/>
        </w:rPr>
        <w:t>STP</w:t>
      </w:r>
      <w:r w:rsidR="00F461B7">
        <w:rPr>
          <w:rFonts w:ascii="Arial" w:hAnsi="Arial" w:cs="Arial"/>
        </w:rPr>
        <w:t>/ICS</w:t>
      </w:r>
      <w:r>
        <w:rPr>
          <w:rFonts w:ascii="Arial" w:hAnsi="Arial" w:cs="Arial"/>
        </w:rPr>
        <w:t>s should undertake a multi-year prioritisation exercise.</w:t>
      </w:r>
      <w:r w:rsidR="001B503A">
        <w:rPr>
          <w:rFonts w:ascii="Arial" w:hAnsi="Arial" w:cs="Arial"/>
        </w:rPr>
        <w:t xml:space="preserve"> However, we accept that priorities will evolve in the future, partly driven by learning and blueprints coming out of the exemplars. We also appreciate the need for funding to start flowing as soon as possible. </w:t>
      </w:r>
      <w:r w:rsidR="0041353E">
        <w:rPr>
          <w:rFonts w:ascii="Arial" w:hAnsi="Arial" w:cs="Arial"/>
        </w:rPr>
        <w:t>Therefore, we are prepared to accept Investment Proposals that, while identifying a firm set of projects for year one and a provisional set for years two and three, only need to provide value, transformation and delivery confidence justifications for the year one projects. We will ‘lock down’ the following year’s plans prior to the start of each financial year.</w:t>
      </w:r>
    </w:p>
    <w:p w14:paraId="530235B4" w14:textId="77777777" w:rsidR="00DC099C" w:rsidRPr="001B503A" w:rsidRDefault="00DC099C" w:rsidP="001B503A">
      <w:pPr>
        <w:autoSpaceDE w:val="0"/>
        <w:autoSpaceDN w:val="0"/>
        <w:adjustRightInd w:val="0"/>
        <w:spacing w:after="0"/>
        <w:rPr>
          <w:rFonts w:ascii="Arial" w:hAnsi="Arial" w:cs="Arial"/>
        </w:rPr>
      </w:pPr>
    </w:p>
    <w:p w14:paraId="16D32039" w14:textId="77777777" w:rsidR="007912B9" w:rsidRDefault="00724F3D" w:rsidP="00B05A0F">
      <w:pPr>
        <w:pStyle w:val="ListParagraph"/>
        <w:numPr>
          <w:ilvl w:val="1"/>
          <w:numId w:val="63"/>
        </w:numPr>
        <w:autoSpaceDE w:val="0"/>
        <w:autoSpaceDN w:val="0"/>
        <w:adjustRightInd w:val="0"/>
        <w:rPr>
          <w:rFonts w:ascii="Arial" w:hAnsi="Arial" w:cs="Arial"/>
        </w:rPr>
      </w:pPr>
      <w:r>
        <w:rPr>
          <w:rFonts w:ascii="Arial" w:hAnsi="Arial" w:cs="Arial"/>
        </w:rPr>
        <w:t>STP</w:t>
      </w:r>
      <w:r w:rsidR="00F461B7">
        <w:rPr>
          <w:rFonts w:ascii="Arial" w:hAnsi="Arial" w:cs="Arial"/>
        </w:rPr>
        <w:t>/ICS</w:t>
      </w:r>
      <w:r>
        <w:rPr>
          <w:rFonts w:ascii="Arial" w:hAnsi="Arial" w:cs="Arial"/>
        </w:rPr>
        <w:t xml:space="preserve"> footprints should avoid defaulting to a ‘fair share’ allocation approach across providers within the footprint. Local prioritisation is likely to require some challenging conversations and difficult decisions.</w:t>
      </w:r>
    </w:p>
    <w:p w14:paraId="306DD932" w14:textId="77777777" w:rsidR="000D08CC" w:rsidRDefault="000D08CC" w:rsidP="001B503A">
      <w:pPr>
        <w:pStyle w:val="ListParagraph"/>
        <w:autoSpaceDE w:val="0"/>
        <w:autoSpaceDN w:val="0"/>
        <w:adjustRightInd w:val="0"/>
        <w:ind w:left="576"/>
        <w:rPr>
          <w:rFonts w:ascii="Arial" w:hAnsi="Arial" w:cs="Arial"/>
        </w:rPr>
      </w:pPr>
    </w:p>
    <w:p w14:paraId="7CA4D4A7" w14:textId="1A413A71" w:rsidR="007A28FB" w:rsidRPr="007A28FB" w:rsidRDefault="007A28FB" w:rsidP="00B05A0F">
      <w:pPr>
        <w:pStyle w:val="ListParagraph"/>
        <w:numPr>
          <w:ilvl w:val="1"/>
          <w:numId w:val="63"/>
        </w:numPr>
        <w:autoSpaceDE w:val="0"/>
        <w:autoSpaceDN w:val="0"/>
        <w:adjustRightInd w:val="0"/>
        <w:rPr>
          <w:rFonts w:ascii="Arial" w:hAnsi="Arial" w:cs="Arial"/>
        </w:rPr>
      </w:pPr>
      <w:r w:rsidRPr="007A28FB">
        <w:rPr>
          <w:rFonts w:ascii="Arial" w:hAnsi="Arial" w:cs="Arial"/>
        </w:rPr>
        <w:t>The prioritisation criteria to be applied by STP</w:t>
      </w:r>
      <w:r w:rsidR="00F461B7">
        <w:rPr>
          <w:rFonts w:ascii="Arial" w:hAnsi="Arial" w:cs="Arial"/>
        </w:rPr>
        <w:t>/ICS</w:t>
      </w:r>
      <w:r w:rsidR="008D40DE">
        <w:rPr>
          <w:rFonts w:ascii="Arial" w:hAnsi="Arial" w:cs="Arial"/>
        </w:rPr>
        <w:t>s</w:t>
      </w:r>
      <w:r w:rsidR="002956EC">
        <w:rPr>
          <w:rFonts w:ascii="Arial" w:hAnsi="Arial" w:cs="Arial"/>
        </w:rPr>
        <w:t xml:space="preserve"> </w:t>
      </w:r>
      <w:r w:rsidRPr="007A28FB">
        <w:rPr>
          <w:rFonts w:ascii="Arial" w:hAnsi="Arial" w:cs="Arial"/>
        </w:rPr>
        <w:t xml:space="preserve">to determine where to invest their allocations fall under the </w:t>
      </w:r>
      <w:r w:rsidR="008D40DE">
        <w:rPr>
          <w:rFonts w:ascii="Arial" w:hAnsi="Arial" w:cs="Arial"/>
        </w:rPr>
        <w:t xml:space="preserve">following </w:t>
      </w:r>
      <w:r w:rsidRPr="007A28FB">
        <w:rPr>
          <w:rFonts w:ascii="Arial" w:hAnsi="Arial" w:cs="Arial"/>
        </w:rPr>
        <w:t>headings</w:t>
      </w:r>
      <w:r w:rsidR="008D40DE">
        <w:rPr>
          <w:rFonts w:ascii="Arial" w:hAnsi="Arial" w:cs="Arial"/>
        </w:rPr>
        <w:t>, and should be given equal weighting</w:t>
      </w:r>
      <w:r w:rsidRPr="007A28FB">
        <w:rPr>
          <w:rFonts w:ascii="Arial" w:hAnsi="Arial" w:cs="Arial"/>
        </w:rPr>
        <w:t>:</w:t>
      </w:r>
    </w:p>
    <w:p w14:paraId="5A7F0AB8" w14:textId="77777777" w:rsidR="007A28FB" w:rsidRPr="00667E2A" w:rsidRDefault="00886872" w:rsidP="008D40DE">
      <w:pPr>
        <w:pStyle w:val="ListParagraph"/>
        <w:numPr>
          <w:ilvl w:val="0"/>
          <w:numId w:val="54"/>
        </w:numPr>
        <w:autoSpaceDE w:val="0"/>
        <w:autoSpaceDN w:val="0"/>
        <w:adjustRightInd w:val="0"/>
        <w:ind w:left="1134"/>
        <w:rPr>
          <w:rFonts w:ascii="Arial" w:hAnsi="Arial" w:cs="Arial"/>
        </w:rPr>
      </w:pPr>
      <w:r>
        <w:rPr>
          <w:rFonts w:ascii="Arial" w:hAnsi="Arial" w:cs="Arial"/>
        </w:rPr>
        <w:t>s</w:t>
      </w:r>
      <w:r w:rsidR="007A28FB" w:rsidRPr="00667E2A">
        <w:rPr>
          <w:rFonts w:ascii="Arial" w:hAnsi="Arial" w:cs="Arial"/>
        </w:rPr>
        <w:t>trategic alignment</w:t>
      </w:r>
    </w:p>
    <w:p w14:paraId="56CB2A8E" w14:textId="77777777" w:rsidR="007A28FB" w:rsidRDefault="008D40DE" w:rsidP="008D40DE">
      <w:pPr>
        <w:pStyle w:val="ListParagraph"/>
        <w:numPr>
          <w:ilvl w:val="0"/>
          <w:numId w:val="54"/>
        </w:numPr>
        <w:autoSpaceDE w:val="0"/>
        <w:autoSpaceDN w:val="0"/>
        <w:adjustRightInd w:val="0"/>
        <w:ind w:left="1134"/>
        <w:rPr>
          <w:rFonts w:ascii="Arial" w:hAnsi="Arial" w:cs="Arial"/>
        </w:rPr>
      </w:pPr>
      <w:r>
        <w:rPr>
          <w:rFonts w:ascii="Arial" w:hAnsi="Arial" w:cs="Arial"/>
        </w:rPr>
        <w:t>financial return on investment</w:t>
      </w:r>
    </w:p>
    <w:p w14:paraId="4B2C7123" w14:textId="77777777" w:rsidR="008D40DE" w:rsidRPr="00667E2A" w:rsidRDefault="008D40DE" w:rsidP="008D40DE">
      <w:pPr>
        <w:pStyle w:val="ListParagraph"/>
        <w:numPr>
          <w:ilvl w:val="0"/>
          <w:numId w:val="54"/>
        </w:numPr>
        <w:autoSpaceDE w:val="0"/>
        <w:autoSpaceDN w:val="0"/>
        <w:adjustRightInd w:val="0"/>
        <w:ind w:left="1134"/>
        <w:rPr>
          <w:rFonts w:ascii="Arial" w:hAnsi="Arial" w:cs="Arial"/>
        </w:rPr>
      </w:pPr>
      <w:r>
        <w:rPr>
          <w:rFonts w:ascii="Arial" w:hAnsi="Arial" w:cs="Arial"/>
        </w:rPr>
        <w:t>broader value considerations</w:t>
      </w:r>
    </w:p>
    <w:p w14:paraId="02FD269B" w14:textId="77777777" w:rsidR="007A28FB" w:rsidRPr="00667E2A" w:rsidRDefault="00886872" w:rsidP="008D40DE">
      <w:pPr>
        <w:pStyle w:val="ListParagraph"/>
        <w:numPr>
          <w:ilvl w:val="0"/>
          <w:numId w:val="54"/>
        </w:numPr>
        <w:autoSpaceDE w:val="0"/>
        <w:autoSpaceDN w:val="0"/>
        <w:adjustRightInd w:val="0"/>
        <w:ind w:left="1134"/>
        <w:rPr>
          <w:rFonts w:ascii="Arial" w:hAnsi="Arial" w:cs="Arial"/>
        </w:rPr>
      </w:pPr>
      <w:r>
        <w:rPr>
          <w:rFonts w:ascii="Arial" w:hAnsi="Arial" w:cs="Arial"/>
        </w:rPr>
        <w:t>d</w:t>
      </w:r>
      <w:r w:rsidR="007A28FB" w:rsidRPr="00667E2A">
        <w:rPr>
          <w:rFonts w:ascii="Arial" w:hAnsi="Arial" w:cs="Arial"/>
        </w:rPr>
        <w:t>elivery confidence</w:t>
      </w:r>
      <w:r>
        <w:rPr>
          <w:rFonts w:ascii="Arial" w:hAnsi="Arial" w:cs="Arial"/>
        </w:rPr>
        <w:t>.</w:t>
      </w:r>
    </w:p>
    <w:p w14:paraId="44BEC872" w14:textId="77777777" w:rsidR="007A28FB" w:rsidRPr="00667E2A" w:rsidRDefault="007A28FB" w:rsidP="00667E2A">
      <w:pPr>
        <w:pStyle w:val="ListParagraph"/>
        <w:ind w:left="993"/>
        <w:rPr>
          <w:rFonts w:ascii="Arial" w:hAnsi="Arial" w:cs="Arial"/>
        </w:rPr>
      </w:pPr>
    </w:p>
    <w:p w14:paraId="661CA9D6" w14:textId="66DEB1A6" w:rsidR="007A28FB" w:rsidRPr="00C3530E" w:rsidRDefault="002956EC" w:rsidP="00B05A0F">
      <w:pPr>
        <w:pStyle w:val="ListParagraph"/>
        <w:numPr>
          <w:ilvl w:val="1"/>
          <w:numId w:val="63"/>
        </w:numPr>
        <w:autoSpaceDE w:val="0"/>
        <w:autoSpaceDN w:val="0"/>
        <w:adjustRightInd w:val="0"/>
        <w:rPr>
          <w:rFonts w:ascii="Arial" w:hAnsi="Arial" w:cs="Arial"/>
        </w:rPr>
      </w:pPr>
      <w:r w:rsidRPr="002956EC">
        <w:rPr>
          <w:rFonts w:ascii="Arial" w:hAnsi="Arial" w:cs="Arial"/>
        </w:rPr>
        <w:t xml:space="preserve">Considerations of </w:t>
      </w:r>
      <w:r w:rsidRPr="00667E2A">
        <w:rPr>
          <w:rFonts w:ascii="Arial" w:hAnsi="Arial" w:cs="Arial"/>
        </w:rPr>
        <w:t>strategic alignment</w:t>
      </w:r>
      <w:r w:rsidRPr="002956EC">
        <w:rPr>
          <w:rFonts w:ascii="Arial" w:hAnsi="Arial" w:cs="Arial"/>
        </w:rPr>
        <w:t xml:space="preserve"> </w:t>
      </w:r>
      <w:r w:rsidR="00C03144">
        <w:rPr>
          <w:rFonts w:ascii="Arial" w:hAnsi="Arial" w:cs="Arial"/>
        </w:rPr>
        <w:t>should reflect</w:t>
      </w:r>
      <w:r w:rsidRPr="002956EC">
        <w:rPr>
          <w:rFonts w:ascii="Arial" w:hAnsi="Arial" w:cs="Arial"/>
        </w:rPr>
        <w:t xml:space="preserve"> alignment </w:t>
      </w:r>
      <w:r w:rsidR="00214FD1">
        <w:rPr>
          <w:rFonts w:ascii="Arial" w:hAnsi="Arial" w:cs="Arial"/>
        </w:rPr>
        <w:t xml:space="preserve">with the six national priorities for system digitisation set out in section 3.4, and </w:t>
      </w:r>
      <w:r w:rsidRPr="002956EC">
        <w:rPr>
          <w:rFonts w:ascii="Arial" w:hAnsi="Arial" w:cs="Arial"/>
        </w:rPr>
        <w:t>with STP</w:t>
      </w:r>
      <w:r w:rsidR="00F461B7">
        <w:rPr>
          <w:rFonts w:ascii="Arial" w:hAnsi="Arial" w:cs="Arial"/>
        </w:rPr>
        <w:t>/ICS</w:t>
      </w:r>
      <w:r w:rsidRPr="002956EC">
        <w:rPr>
          <w:rFonts w:ascii="Arial" w:hAnsi="Arial" w:cs="Arial"/>
        </w:rPr>
        <w:t xml:space="preserve"> plans, strategies and performance targets </w:t>
      </w:r>
      <w:r w:rsidR="00C03144">
        <w:rPr>
          <w:rFonts w:ascii="Arial" w:hAnsi="Arial" w:cs="Arial"/>
        </w:rPr>
        <w:t xml:space="preserve">across themes such as </w:t>
      </w:r>
      <w:r w:rsidR="00DF6421">
        <w:rPr>
          <w:rFonts w:ascii="Arial" w:hAnsi="Arial" w:cs="Arial"/>
        </w:rPr>
        <w:t xml:space="preserve">productivity, </w:t>
      </w:r>
      <w:r w:rsidRPr="00C3530E">
        <w:rPr>
          <w:rFonts w:ascii="Arial" w:hAnsi="Arial" w:cs="Arial"/>
        </w:rPr>
        <w:t>transformation, operational resilience, acute care collaboration</w:t>
      </w:r>
      <w:r w:rsidR="00BE6EF4">
        <w:rPr>
          <w:rFonts w:ascii="Arial" w:hAnsi="Arial" w:cs="Arial"/>
        </w:rPr>
        <w:t xml:space="preserve"> and</w:t>
      </w:r>
      <w:r w:rsidRPr="00C3530E">
        <w:rPr>
          <w:rFonts w:ascii="Arial" w:hAnsi="Arial" w:cs="Arial"/>
        </w:rPr>
        <w:t xml:space="preserve"> performance against the A&amp;E standard</w:t>
      </w:r>
      <w:r w:rsidR="00C03144" w:rsidRPr="00C3530E">
        <w:rPr>
          <w:rFonts w:ascii="Arial" w:hAnsi="Arial" w:cs="Arial"/>
        </w:rPr>
        <w:t>.</w:t>
      </w:r>
      <w:r w:rsidRPr="00C3530E">
        <w:rPr>
          <w:rFonts w:ascii="Arial" w:hAnsi="Arial" w:cs="Arial"/>
        </w:rPr>
        <w:t xml:space="preserve"> </w:t>
      </w:r>
      <w:r w:rsidR="003A1A49" w:rsidRPr="00C3530E">
        <w:rPr>
          <w:rFonts w:ascii="Arial" w:hAnsi="Arial" w:cs="Arial"/>
        </w:rPr>
        <w:t>For STPs, consideration should also be given to the contribution towards developing the core capabilities required to become an ICS.</w:t>
      </w:r>
    </w:p>
    <w:p w14:paraId="74AC6136" w14:textId="77777777" w:rsidR="002956EC" w:rsidRDefault="002956EC" w:rsidP="00667E2A">
      <w:pPr>
        <w:pStyle w:val="ListParagraph"/>
        <w:autoSpaceDE w:val="0"/>
        <w:autoSpaceDN w:val="0"/>
        <w:adjustRightInd w:val="0"/>
        <w:ind w:left="576"/>
        <w:rPr>
          <w:rFonts w:ascii="Arial" w:hAnsi="Arial" w:cs="Arial"/>
        </w:rPr>
      </w:pPr>
    </w:p>
    <w:p w14:paraId="141A5918" w14:textId="77777777" w:rsidR="00AE523D" w:rsidRDefault="00AE523D" w:rsidP="00B05A0F">
      <w:pPr>
        <w:pStyle w:val="ListParagraph"/>
        <w:numPr>
          <w:ilvl w:val="1"/>
          <w:numId w:val="63"/>
        </w:numPr>
        <w:autoSpaceDE w:val="0"/>
        <w:autoSpaceDN w:val="0"/>
        <w:adjustRightInd w:val="0"/>
        <w:rPr>
          <w:rFonts w:ascii="Arial" w:hAnsi="Arial" w:cs="Arial"/>
        </w:rPr>
      </w:pPr>
      <w:r>
        <w:rPr>
          <w:rFonts w:ascii="Arial" w:hAnsi="Arial" w:cs="Arial"/>
        </w:rPr>
        <w:t>Financial return on investment (FROI) considerations cover both the scale of the projected return and the level of confidence. FROI is the average annual cash-releasing savings arising from the project divided by the total investment in the project, expressed as a percentage.</w:t>
      </w:r>
    </w:p>
    <w:p w14:paraId="51D8A697" w14:textId="77777777" w:rsidR="00AE523D" w:rsidRPr="00AE523D" w:rsidRDefault="00AE523D" w:rsidP="00AE523D">
      <w:pPr>
        <w:pStyle w:val="ListParagraph"/>
        <w:rPr>
          <w:rFonts w:ascii="Arial" w:hAnsi="Arial" w:cs="Arial"/>
        </w:rPr>
      </w:pPr>
    </w:p>
    <w:p w14:paraId="7F7BC385" w14:textId="77777777" w:rsidR="002956EC" w:rsidRDefault="008D40DE" w:rsidP="00B05A0F">
      <w:pPr>
        <w:pStyle w:val="ListParagraph"/>
        <w:numPr>
          <w:ilvl w:val="1"/>
          <w:numId w:val="63"/>
        </w:numPr>
        <w:autoSpaceDE w:val="0"/>
        <w:autoSpaceDN w:val="0"/>
        <w:adjustRightInd w:val="0"/>
        <w:rPr>
          <w:rFonts w:ascii="Arial" w:hAnsi="Arial" w:cs="Arial"/>
        </w:rPr>
      </w:pPr>
      <w:r>
        <w:rPr>
          <w:rFonts w:ascii="Arial" w:hAnsi="Arial" w:cs="Arial"/>
        </w:rPr>
        <w:t>Broader v</w:t>
      </w:r>
      <w:r w:rsidR="002956EC" w:rsidRPr="00667E2A">
        <w:rPr>
          <w:rFonts w:ascii="Arial" w:hAnsi="Arial" w:cs="Arial"/>
        </w:rPr>
        <w:t>alue</w:t>
      </w:r>
      <w:r w:rsidR="002956EC" w:rsidRPr="002956EC">
        <w:rPr>
          <w:rFonts w:ascii="Arial" w:hAnsi="Arial" w:cs="Arial"/>
        </w:rPr>
        <w:t xml:space="preserve"> considerations include potential </w:t>
      </w:r>
      <w:r>
        <w:rPr>
          <w:rFonts w:ascii="Arial" w:hAnsi="Arial" w:cs="Arial"/>
        </w:rPr>
        <w:t>clinical outcome</w:t>
      </w:r>
      <w:r w:rsidR="00BE25A7">
        <w:rPr>
          <w:rFonts w:ascii="Arial" w:hAnsi="Arial" w:cs="Arial"/>
        </w:rPr>
        <w:t>s</w:t>
      </w:r>
      <w:r>
        <w:rPr>
          <w:rFonts w:ascii="Arial" w:hAnsi="Arial" w:cs="Arial"/>
        </w:rPr>
        <w:t>, patient safety</w:t>
      </w:r>
      <w:r w:rsidR="00BE25A7">
        <w:rPr>
          <w:rFonts w:ascii="Arial" w:hAnsi="Arial" w:cs="Arial"/>
        </w:rPr>
        <w:t xml:space="preserve">, </w:t>
      </w:r>
      <w:r>
        <w:rPr>
          <w:rFonts w:ascii="Arial" w:hAnsi="Arial" w:cs="Arial"/>
        </w:rPr>
        <w:t xml:space="preserve">patient experience </w:t>
      </w:r>
      <w:r w:rsidR="00BE25A7">
        <w:rPr>
          <w:rFonts w:ascii="Arial" w:hAnsi="Arial" w:cs="Arial"/>
        </w:rPr>
        <w:t>and financial non-cash-releasing benefits</w:t>
      </w:r>
      <w:r>
        <w:rPr>
          <w:rFonts w:ascii="Arial" w:hAnsi="Arial" w:cs="Arial"/>
        </w:rPr>
        <w:t xml:space="preserve"> (both significance and confidence</w:t>
      </w:r>
      <w:r w:rsidR="002F5379">
        <w:rPr>
          <w:rFonts w:ascii="Arial" w:hAnsi="Arial" w:cs="Arial"/>
        </w:rPr>
        <w:t xml:space="preserve">), </w:t>
      </w:r>
      <w:r w:rsidR="002956EC" w:rsidRPr="002956EC">
        <w:rPr>
          <w:rFonts w:ascii="Arial" w:hAnsi="Arial" w:cs="Arial"/>
        </w:rPr>
        <w:t>and the degree to which the investment can be leveraged to benefit others</w:t>
      </w:r>
      <w:r w:rsidR="002F5379">
        <w:rPr>
          <w:rFonts w:ascii="Arial" w:hAnsi="Arial" w:cs="Arial"/>
        </w:rPr>
        <w:t xml:space="preserve"> in the local health and care system</w:t>
      </w:r>
      <w:r w:rsidR="002956EC" w:rsidRPr="002956EC">
        <w:rPr>
          <w:rFonts w:ascii="Arial" w:hAnsi="Arial" w:cs="Arial"/>
        </w:rPr>
        <w:t>.</w:t>
      </w:r>
      <w:r w:rsidR="002956EC">
        <w:rPr>
          <w:rFonts w:ascii="Arial" w:hAnsi="Arial" w:cs="Arial"/>
        </w:rPr>
        <w:t xml:space="preserve"> </w:t>
      </w:r>
    </w:p>
    <w:p w14:paraId="4A08CF42" w14:textId="77777777" w:rsidR="002956EC" w:rsidRPr="00667E2A" w:rsidRDefault="002956EC" w:rsidP="00F7626F">
      <w:pPr>
        <w:pStyle w:val="ListParagraph"/>
        <w:rPr>
          <w:rFonts w:ascii="Arial" w:hAnsi="Arial" w:cs="Arial"/>
        </w:rPr>
      </w:pPr>
    </w:p>
    <w:p w14:paraId="4F040040" w14:textId="77777777" w:rsidR="002956EC" w:rsidRDefault="002956EC" w:rsidP="00B05A0F">
      <w:pPr>
        <w:pStyle w:val="ListParagraph"/>
        <w:numPr>
          <w:ilvl w:val="1"/>
          <w:numId w:val="63"/>
        </w:numPr>
        <w:autoSpaceDE w:val="0"/>
        <w:autoSpaceDN w:val="0"/>
        <w:adjustRightInd w:val="0"/>
        <w:rPr>
          <w:rFonts w:ascii="Arial" w:hAnsi="Arial" w:cs="Arial"/>
        </w:rPr>
      </w:pPr>
      <w:r w:rsidRPr="002956EC">
        <w:rPr>
          <w:rFonts w:ascii="Arial" w:hAnsi="Arial" w:cs="Arial"/>
        </w:rPr>
        <w:t xml:space="preserve">Considerations of </w:t>
      </w:r>
      <w:r w:rsidRPr="00667E2A">
        <w:rPr>
          <w:rFonts w:ascii="Arial" w:hAnsi="Arial" w:cs="Arial"/>
        </w:rPr>
        <w:t>delivery confidence</w:t>
      </w:r>
      <w:r w:rsidRPr="002956EC">
        <w:rPr>
          <w:rFonts w:ascii="Arial" w:hAnsi="Arial" w:cs="Arial"/>
        </w:rPr>
        <w:t xml:space="preserve"> include quality and credibility of plans and costings, </w:t>
      </w:r>
      <w:r>
        <w:rPr>
          <w:rFonts w:ascii="Arial" w:hAnsi="Arial" w:cs="Arial"/>
        </w:rPr>
        <w:t>informatics leadership, clinical leadership of the digital agenda, maturity of programme and project management</w:t>
      </w:r>
      <w:r w:rsidRPr="002956EC">
        <w:rPr>
          <w:rFonts w:ascii="Arial" w:hAnsi="Arial" w:cs="Arial"/>
        </w:rPr>
        <w:t xml:space="preserve">, confidence in </w:t>
      </w:r>
      <w:r w:rsidR="008B0FC4">
        <w:rPr>
          <w:rFonts w:ascii="Arial" w:hAnsi="Arial" w:cs="Arial"/>
        </w:rPr>
        <w:t xml:space="preserve">(rapid) </w:t>
      </w:r>
      <w:r w:rsidRPr="002956EC">
        <w:rPr>
          <w:rFonts w:ascii="Arial" w:hAnsi="Arial" w:cs="Arial"/>
        </w:rPr>
        <w:t>procurement approach, capability and track record of digitally</w:t>
      </w:r>
      <w:r w:rsidR="000F7F18">
        <w:rPr>
          <w:rFonts w:ascii="Arial" w:hAnsi="Arial" w:cs="Arial"/>
        </w:rPr>
        <w:t xml:space="preserve"> </w:t>
      </w:r>
      <w:r w:rsidRPr="002956EC">
        <w:rPr>
          <w:rFonts w:ascii="Arial" w:hAnsi="Arial" w:cs="Arial"/>
        </w:rPr>
        <w:t xml:space="preserve">enabled </w:t>
      </w:r>
      <w:r w:rsidRPr="002956EC">
        <w:rPr>
          <w:rFonts w:ascii="Arial" w:hAnsi="Arial" w:cs="Arial"/>
        </w:rPr>
        <w:lastRenderedPageBreak/>
        <w:t>transformation, commitment to leveraging support from others, complexity of what is proposed, and maturity of infrastructure.</w:t>
      </w:r>
      <w:r>
        <w:rPr>
          <w:rFonts w:ascii="Arial" w:hAnsi="Arial" w:cs="Arial"/>
        </w:rPr>
        <w:t xml:space="preserve"> </w:t>
      </w:r>
      <w:r w:rsidR="00ED5A5C">
        <w:rPr>
          <w:rFonts w:ascii="Arial" w:hAnsi="Arial" w:cs="Arial"/>
        </w:rPr>
        <w:t xml:space="preserve">Where delivery confidence is initially low, STPs </w:t>
      </w:r>
      <w:r w:rsidR="000A70A2">
        <w:rPr>
          <w:rFonts w:ascii="Arial" w:hAnsi="Arial" w:cs="Arial"/>
        </w:rPr>
        <w:t xml:space="preserve">may want to </w:t>
      </w:r>
      <w:r w:rsidR="00ED5A5C">
        <w:rPr>
          <w:rFonts w:ascii="Arial" w:hAnsi="Arial" w:cs="Arial"/>
        </w:rPr>
        <w:t xml:space="preserve">challenge or broker </w:t>
      </w:r>
      <w:r w:rsidR="000A70A2">
        <w:rPr>
          <w:rFonts w:ascii="Arial" w:hAnsi="Arial" w:cs="Arial"/>
        </w:rPr>
        <w:t>support</w:t>
      </w:r>
      <w:r w:rsidR="00ED5A5C">
        <w:rPr>
          <w:rFonts w:ascii="Arial" w:hAnsi="Arial" w:cs="Arial"/>
        </w:rPr>
        <w:t xml:space="preserve"> to increase confidence, particularly for projects that are ranked high from the other perspectives.</w:t>
      </w:r>
    </w:p>
    <w:p w14:paraId="678A78F4" w14:textId="77777777" w:rsidR="002956EC" w:rsidRPr="00667E2A" w:rsidRDefault="002956EC" w:rsidP="00F7626F">
      <w:pPr>
        <w:pStyle w:val="ListParagraph"/>
        <w:rPr>
          <w:rFonts w:ascii="Arial" w:hAnsi="Arial" w:cs="Arial"/>
        </w:rPr>
      </w:pPr>
    </w:p>
    <w:p w14:paraId="464F2373" w14:textId="536BB593" w:rsidR="000A70A2" w:rsidRDefault="002F5379" w:rsidP="00B05A0F">
      <w:pPr>
        <w:pStyle w:val="ListParagraph"/>
        <w:numPr>
          <w:ilvl w:val="1"/>
          <w:numId w:val="63"/>
        </w:numPr>
        <w:autoSpaceDE w:val="0"/>
        <w:autoSpaceDN w:val="0"/>
        <w:adjustRightInd w:val="0"/>
        <w:rPr>
          <w:rFonts w:ascii="Arial" w:hAnsi="Arial" w:cs="Arial"/>
        </w:rPr>
      </w:pPr>
      <w:r>
        <w:rPr>
          <w:rFonts w:ascii="Arial" w:hAnsi="Arial" w:cs="Arial"/>
        </w:rPr>
        <w:t xml:space="preserve">Each of the four headings should be scored out of 4, and combined to give a total score out of </w:t>
      </w:r>
      <w:r w:rsidR="00CB47D0">
        <w:rPr>
          <w:rFonts w:ascii="Arial" w:hAnsi="Arial" w:cs="Arial"/>
        </w:rPr>
        <w:t>16</w:t>
      </w:r>
      <w:r>
        <w:rPr>
          <w:rFonts w:ascii="Arial" w:hAnsi="Arial" w:cs="Arial"/>
        </w:rPr>
        <w:t xml:space="preserve"> for each proposal. </w:t>
      </w:r>
      <w:r w:rsidR="006023A1">
        <w:rPr>
          <w:rFonts w:ascii="Arial" w:hAnsi="Arial" w:cs="Arial"/>
        </w:rPr>
        <w:t xml:space="preserve">For projects seeking </w:t>
      </w:r>
      <w:r w:rsidR="002D7D65">
        <w:rPr>
          <w:rFonts w:ascii="Arial" w:hAnsi="Arial" w:cs="Arial"/>
        </w:rPr>
        <w:t>20</w:t>
      </w:r>
      <w:r w:rsidR="006023A1">
        <w:rPr>
          <w:rFonts w:ascii="Arial" w:hAnsi="Arial" w:cs="Arial"/>
        </w:rPr>
        <w:t>18/19 funding, o</w:t>
      </w:r>
      <w:r>
        <w:rPr>
          <w:rFonts w:ascii="Arial" w:hAnsi="Arial" w:cs="Arial"/>
        </w:rPr>
        <w:t xml:space="preserve">nly </w:t>
      </w:r>
      <w:r w:rsidR="006023A1">
        <w:rPr>
          <w:rFonts w:ascii="Arial" w:hAnsi="Arial" w:cs="Arial"/>
        </w:rPr>
        <w:t>those</w:t>
      </w:r>
      <w:r>
        <w:rPr>
          <w:rFonts w:ascii="Arial" w:hAnsi="Arial" w:cs="Arial"/>
        </w:rPr>
        <w:t xml:space="preserve"> that score at least </w:t>
      </w:r>
      <w:r w:rsidR="00BF0FF6">
        <w:rPr>
          <w:rFonts w:ascii="Arial" w:hAnsi="Arial" w:cs="Arial"/>
        </w:rPr>
        <w:t>10</w:t>
      </w:r>
      <w:r>
        <w:rPr>
          <w:rFonts w:ascii="Arial" w:hAnsi="Arial" w:cs="Arial"/>
        </w:rPr>
        <w:t xml:space="preserve"> out of </w:t>
      </w:r>
      <w:r w:rsidR="00BF0FF6">
        <w:rPr>
          <w:rFonts w:ascii="Arial" w:hAnsi="Arial" w:cs="Arial"/>
        </w:rPr>
        <w:t>16</w:t>
      </w:r>
      <w:r>
        <w:rPr>
          <w:rFonts w:ascii="Arial" w:hAnsi="Arial" w:cs="Arial"/>
        </w:rPr>
        <w:t xml:space="preserve"> should be put forward in the Investment </w:t>
      </w:r>
      <w:r w:rsidR="00A15EF2">
        <w:rPr>
          <w:rFonts w:ascii="Arial" w:hAnsi="Arial" w:cs="Arial"/>
        </w:rPr>
        <w:t>Proposal</w:t>
      </w:r>
      <w:r>
        <w:rPr>
          <w:rFonts w:ascii="Arial" w:hAnsi="Arial" w:cs="Arial"/>
        </w:rPr>
        <w:t xml:space="preserve">. </w:t>
      </w:r>
      <w:r w:rsidR="006023A1">
        <w:rPr>
          <w:rFonts w:ascii="Arial" w:hAnsi="Arial" w:cs="Arial"/>
        </w:rPr>
        <w:t xml:space="preserve">(For any projects that are seeking funding only from </w:t>
      </w:r>
      <w:r w:rsidR="002D7D65">
        <w:rPr>
          <w:rFonts w:ascii="Arial" w:hAnsi="Arial" w:cs="Arial"/>
        </w:rPr>
        <w:t>20</w:t>
      </w:r>
      <w:r w:rsidR="006023A1">
        <w:rPr>
          <w:rFonts w:ascii="Arial" w:hAnsi="Arial" w:cs="Arial"/>
        </w:rPr>
        <w:t>19/20</w:t>
      </w:r>
      <w:r w:rsidR="005F00CF">
        <w:rPr>
          <w:rFonts w:ascii="Arial" w:hAnsi="Arial" w:cs="Arial"/>
        </w:rPr>
        <w:t xml:space="preserve"> and currently score lower than 10, further work will be required to improve the score to the threshold before funding is released – this will likely be more detail around financial return on investment and/or delivery confidence). </w:t>
      </w:r>
      <w:r>
        <w:rPr>
          <w:rFonts w:ascii="Arial" w:hAnsi="Arial" w:cs="Arial"/>
        </w:rPr>
        <w:t>Scoring guidelines for STP</w:t>
      </w:r>
      <w:r w:rsidR="00F461B7">
        <w:rPr>
          <w:rFonts w:ascii="Arial" w:hAnsi="Arial" w:cs="Arial"/>
        </w:rPr>
        <w:t>/ICS</w:t>
      </w:r>
      <w:r>
        <w:rPr>
          <w:rFonts w:ascii="Arial" w:hAnsi="Arial" w:cs="Arial"/>
        </w:rPr>
        <w:t xml:space="preserve">s to apply are included in Annex </w:t>
      </w:r>
      <w:r w:rsidR="006A4F45">
        <w:rPr>
          <w:rFonts w:ascii="Arial" w:hAnsi="Arial" w:cs="Arial"/>
        </w:rPr>
        <w:t>A</w:t>
      </w:r>
      <w:r>
        <w:rPr>
          <w:rFonts w:ascii="Arial" w:hAnsi="Arial" w:cs="Arial"/>
        </w:rPr>
        <w:t>.</w:t>
      </w:r>
    </w:p>
    <w:p w14:paraId="650FC173" w14:textId="77777777" w:rsidR="000A70A2" w:rsidRPr="00667E2A" w:rsidRDefault="000A70A2" w:rsidP="00F7626F">
      <w:pPr>
        <w:pStyle w:val="ListParagraph"/>
        <w:rPr>
          <w:rFonts w:ascii="Arial" w:hAnsi="Arial" w:cs="Arial"/>
        </w:rPr>
      </w:pPr>
    </w:p>
    <w:p w14:paraId="151F7A39" w14:textId="5300F843" w:rsidR="00282E80" w:rsidRDefault="00282E80" w:rsidP="00B05A0F">
      <w:pPr>
        <w:pStyle w:val="ListParagraph"/>
        <w:numPr>
          <w:ilvl w:val="1"/>
          <w:numId w:val="63"/>
        </w:numPr>
        <w:autoSpaceDE w:val="0"/>
        <w:autoSpaceDN w:val="0"/>
        <w:adjustRightInd w:val="0"/>
        <w:rPr>
          <w:rFonts w:ascii="Arial" w:hAnsi="Arial" w:cs="Arial"/>
        </w:rPr>
      </w:pPr>
      <w:r w:rsidRPr="00C6655B">
        <w:rPr>
          <w:rFonts w:ascii="Arial" w:hAnsi="Arial" w:cs="Arial"/>
        </w:rPr>
        <w:t>STP</w:t>
      </w:r>
      <w:r w:rsidR="00F461B7">
        <w:rPr>
          <w:rFonts w:ascii="Arial" w:hAnsi="Arial" w:cs="Arial"/>
        </w:rPr>
        <w:t>/ICS</w:t>
      </w:r>
      <w:r w:rsidRPr="00C6655B">
        <w:rPr>
          <w:rFonts w:ascii="Arial" w:hAnsi="Arial" w:cs="Arial"/>
        </w:rPr>
        <w:t xml:space="preserve"> </w:t>
      </w:r>
      <w:r>
        <w:rPr>
          <w:rFonts w:ascii="Arial" w:hAnsi="Arial" w:cs="Arial"/>
        </w:rPr>
        <w:t>portfolios</w:t>
      </w:r>
      <w:r w:rsidRPr="00C6655B">
        <w:rPr>
          <w:rFonts w:ascii="Arial" w:hAnsi="Arial" w:cs="Arial"/>
        </w:rPr>
        <w:t xml:space="preserve"> must be designed so that the allocated funding is spent in the allocated year. </w:t>
      </w:r>
      <w:r w:rsidR="00A137D4">
        <w:rPr>
          <w:rFonts w:ascii="Arial" w:hAnsi="Arial" w:cs="Arial"/>
        </w:rPr>
        <w:t xml:space="preserve">Additionally, to minimise the risk of losing funding due to </w:t>
      </w:r>
      <w:r w:rsidR="00A73722">
        <w:rPr>
          <w:rFonts w:ascii="Arial" w:hAnsi="Arial" w:cs="Arial"/>
        </w:rPr>
        <w:t xml:space="preserve">project </w:t>
      </w:r>
      <w:r w:rsidR="00A137D4">
        <w:rPr>
          <w:rFonts w:ascii="Arial" w:hAnsi="Arial" w:cs="Arial"/>
        </w:rPr>
        <w:t xml:space="preserve">delays, in their Investment </w:t>
      </w:r>
      <w:r w:rsidR="00A15EF2">
        <w:rPr>
          <w:rFonts w:ascii="Arial" w:hAnsi="Arial" w:cs="Arial"/>
        </w:rPr>
        <w:t>Proposal</w:t>
      </w:r>
      <w:r w:rsidR="00A137D4">
        <w:rPr>
          <w:rFonts w:ascii="Arial" w:hAnsi="Arial" w:cs="Arial"/>
        </w:rPr>
        <w:t>, STP</w:t>
      </w:r>
      <w:r w:rsidR="00F461B7">
        <w:rPr>
          <w:rFonts w:ascii="Arial" w:hAnsi="Arial" w:cs="Arial"/>
        </w:rPr>
        <w:t>/ICS</w:t>
      </w:r>
      <w:r w:rsidR="00A137D4">
        <w:rPr>
          <w:rFonts w:ascii="Arial" w:hAnsi="Arial" w:cs="Arial"/>
        </w:rPr>
        <w:t>s should identify contingency proposals</w:t>
      </w:r>
      <w:r w:rsidR="00B93385">
        <w:rPr>
          <w:rFonts w:ascii="Arial" w:hAnsi="Arial" w:cs="Arial"/>
        </w:rPr>
        <w:t xml:space="preserve"> to the value of approximately 2</w:t>
      </w:r>
      <w:r w:rsidR="00A137D4">
        <w:rPr>
          <w:rFonts w:ascii="Arial" w:hAnsi="Arial" w:cs="Arial"/>
        </w:rPr>
        <w:t>0% of their annual allocation – these may include extending existing projects</w:t>
      </w:r>
      <w:r w:rsidR="008921C9">
        <w:rPr>
          <w:rFonts w:ascii="Arial" w:hAnsi="Arial" w:cs="Arial"/>
        </w:rPr>
        <w:t>, accelerating future projects</w:t>
      </w:r>
      <w:r w:rsidR="00A137D4">
        <w:rPr>
          <w:rFonts w:ascii="Arial" w:hAnsi="Arial" w:cs="Arial"/>
        </w:rPr>
        <w:t xml:space="preserve"> </w:t>
      </w:r>
      <w:r w:rsidR="00A73722">
        <w:rPr>
          <w:rFonts w:ascii="Arial" w:hAnsi="Arial" w:cs="Arial"/>
        </w:rPr>
        <w:t>or investing in</w:t>
      </w:r>
      <w:r w:rsidR="00A137D4">
        <w:rPr>
          <w:rFonts w:ascii="Arial" w:hAnsi="Arial" w:cs="Arial"/>
        </w:rPr>
        <w:t xml:space="preserve"> </w:t>
      </w:r>
      <w:r w:rsidR="008921C9">
        <w:rPr>
          <w:rFonts w:ascii="Arial" w:hAnsi="Arial" w:cs="Arial"/>
        </w:rPr>
        <w:t xml:space="preserve">other </w:t>
      </w:r>
      <w:r w:rsidR="00A73722">
        <w:rPr>
          <w:rFonts w:ascii="Arial" w:hAnsi="Arial" w:cs="Arial"/>
        </w:rPr>
        <w:t>projects</w:t>
      </w:r>
      <w:r w:rsidR="008921C9">
        <w:rPr>
          <w:rFonts w:ascii="Arial" w:hAnsi="Arial" w:cs="Arial"/>
        </w:rPr>
        <w:t xml:space="preserve"> that can procure solutions rapidly</w:t>
      </w:r>
      <w:r w:rsidR="00A73722">
        <w:rPr>
          <w:rFonts w:ascii="Arial" w:hAnsi="Arial" w:cs="Arial"/>
        </w:rPr>
        <w:t xml:space="preserve">. </w:t>
      </w:r>
      <w:r w:rsidRPr="00C6655B">
        <w:rPr>
          <w:rFonts w:ascii="Arial" w:hAnsi="Arial" w:cs="Arial"/>
        </w:rPr>
        <w:t xml:space="preserve"> </w:t>
      </w:r>
    </w:p>
    <w:p w14:paraId="73A08CA9" w14:textId="77777777" w:rsidR="006A4F45" w:rsidRPr="006A4F45" w:rsidRDefault="006A4F45" w:rsidP="006A4F45">
      <w:pPr>
        <w:pStyle w:val="ListParagraph"/>
        <w:rPr>
          <w:rFonts w:ascii="Arial" w:hAnsi="Arial" w:cs="Arial"/>
        </w:rPr>
      </w:pPr>
    </w:p>
    <w:p w14:paraId="714112D2" w14:textId="77777777" w:rsidR="006A4F45" w:rsidRDefault="008921C9" w:rsidP="00B05A0F">
      <w:pPr>
        <w:pStyle w:val="ListParagraph"/>
        <w:numPr>
          <w:ilvl w:val="1"/>
          <w:numId w:val="63"/>
        </w:numPr>
        <w:autoSpaceDE w:val="0"/>
        <w:autoSpaceDN w:val="0"/>
        <w:adjustRightInd w:val="0"/>
        <w:rPr>
          <w:rFonts w:ascii="Arial" w:hAnsi="Arial" w:cs="Arial"/>
        </w:rPr>
      </w:pPr>
      <w:r>
        <w:rPr>
          <w:rFonts w:ascii="Arial" w:hAnsi="Arial" w:cs="Arial"/>
        </w:rPr>
        <w:t xml:space="preserve">A </w:t>
      </w:r>
      <w:r w:rsidR="006A4F45">
        <w:rPr>
          <w:rFonts w:ascii="Arial" w:hAnsi="Arial" w:cs="Arial"/>
        </w:rPr>
        <w:t xml:space="preserve">clear and compelling narrative </w:t>
      </w:r>
      <w:r>
        <w:rPr>
          <w:rFonts w:ascii="Arial" w:hAnsi="Arial" w:cs="Arial"/>
        </w:rPr>
        <w:t xml:space="preserve">should be provided, setting out </w:t>
      </w:r>
      <w:r w:rsidR="006A4F45">
        <w:rPr>
          <w:rFonts w:ascii="Arial" w:hAnsi="Arial" w:cs="Arial"/>
        </w:rPr>
        <w:t xml:space="preserve">how </w:t>
      </w:r>
      <w:r>
        <w:rPr>
          <w:rFonts w:ascii="Arial" w:hAnsi="Arial" w:cs="Arial"/>
        </w:rPr>
        <w:t>the portfolio</w:t>
      </w:r>
      <w:r w:rsidR="006A4F45">
        <w:rPr>
          <w:rFonts w:ascii="Arial" w:hAnsi="Arial" w:cs="Arial"/>
        </w:rPr>
        <w:t xml:space="preserve"> will support transformation of the local health and care system.</w:t>
      </w:r>
    </w:p>
    <w:p w14:paraId="687C03FD" w14:textId="77777777" w:rsidR="005C7EED" w:rsidRPr="005C7EED" w:rsidRDefault="005C7EED" w:rsidP="005C7EED">
      <w:pPr>
        <w:pStyle w:val="ListParagraph"/>
        <w:rPr>
          <w:rFonts w:ascii="Arial" w:hAnsi="Arial" w:cs="Arial"/>
        </w:rPr>
      </w:pPr>
    </w:p>
    <w:p w14:paraId="78B1EAEE" w14:textId="77777777" w:rsidR="005C7EED" w:rsidRDefault="005C7EED" w:rsidP="00B05A0F">
      <w:pPr>
        <w:pStyle w:val="ListParagraph"/>
        <w:numPr>
          <w:ilvl w:val="1"/>
          <w:numId w:val="63"/>
        </w:numPr>
        <w:autoSpaceDE w:val="0"/>
        <w:autoSpaceDN w:val="0"/>
        <w:adjustRightInd w:val="0"/>
        <w:rPr>
          <w:rFonts w:ascii="Arial" w:hAnsi="Arial" w:cs="Arial"/>
        </w:rPr>
      </w:pPr>
      <w:r>
        <w:rPr>
          <w:rFonts w:ascii="Arial" w:hAnsi="Arial" w:cs="Arial"/>
        </w:rPr>
        <w:t>The process should involve all secondary care providers in the local system, and there should be significant participation from senior clinicians.</w:t>
      </w:r>
    </w:p>
    <w:p w14:paraId="5C8EAD7C" w14:textId="77777777" w:rsidR="00282E80" w:rsidRPr="00667E2A" w:rsidRDefault="00282E80" w:rsidP="004B72EE">
      <w:pPr>
        <w:autoSpaceDE w:val="0"/>
        <w:autoSpaceDN w:val="0"/>
        <w:adjustRightInd w:val="0"/>
        <w:spacing w:after="0"/>
        <w:rPr>
          <w:rFonts w:ascii="Arial" w:hAnsi="Arial" w:cs="Arial"/>
        </w:rPr>
      </w:pPr>
    </w:p>
    <w:p w14:paraId="68A26628" w14:textId="77777777" w:rsidR="004B72EE" w:rsidRDefault="004B72EE" w:rsidP="004B72EE">
      <w:pPr>
        <w:pStyle w:val="ListParagraph"/>
        <w:autoSpaceDE w:val="0"/>
        <w:autoSpaceDN w:val="0"/>
        <w:adjustRightInd w:val="0"/>
        <w:ind w:left="576"/>
        <w:rPr>
          <w:rFonts w:ascii="Arial" w:hAnsi="Arial" w:cs="Arial"/>
        </w:rPr>
      </w:pPr>
      <w:bookmarkStart w:id="8" w:name="_Toc477451003"/>
      <w:bookmarkStart w:id="9" w:name="_Toc477964397"/>
      <w:bookmarkStart w:id="10" w:name="_Toc477451004"/>
      <w:bookmarkStart w:id="11" w:name="_Toc477964398"/>
      <w:bookmarkEnd w:id="8"/>
      <w:bookmarkEnd w:id="9"/>
      <w:bookmarkEnd w:id="10"/>
      <w:bookmarkEnd w:id="11"/>
    </w:p>
    <w:p w14:paraId="3935ECE4" w14:textId="77777777" w:rsidR="004B72EE" w:rsidRPr="00667E2A" w:rsidRDefault="004B72EE" w:rsidP="004B72EE">
      <w:pPr>
        <w:pStyle w:val="ListParagraph"/>
        <w:rPr>
          <w:rFonts w:ascii="Arial" w:hAnsi="Arial" w:cs="Arial"/>
        </w:rPr>
      </w:pPr>
    </w:p>
    <w:p w14:paraId="64CDB0EE" w14:textId="77777777" w:rsidR="00A73722" w:rsidRDefault="00A73722">
      <w:pPr>
        <w:rPr>
          <w:rFonts w:ascii="Arial" w:eastAsia="Times New Roman" w:hAnsi="Arial" w:cs="Arial"/>
          <w:b/>
          <w:bCs/>
          <w:color w:val="0072C6"/>
          <w:kern w:val="32"/>
          <w:sz w:val="32"/>
          <w:szCs w:val="32"/>
        </w:rPr>
      </w:pPr>
      <w:r>
        <w:rPr>
          <w:rFonts w:ascii="Arial" w:eastAsia="Times New Roman" w:hAnsi="Arial" w:cs="Arial"/>
          <w:b/>
          <w:bCs/>
          <w:color w:val="0072C6"/>
          <w:kern w:val="32"/>
          <w:sz w:val="32"/>
          <w:szCs w:val="32"/>
        </w:rPr>
        <w:br w:type="page"/>
      </w:r>
    </w:p>
    <w:p w14:paraId="42098CF4" w14:textId="598D7A23" w:rsidR="00466B6D" w:rsidRPr="00932C88" w:rsidRDefault="00852A8D" w:rsidP="00B05A0F">
      <w:pPr>
        <w:numPr>
          <w:ilvl w:val="0"/>
          <w:numId w:val="63"/>
        </w:numPr>
        <w:spacing w:after="0" w:line="240" w:lineRule="auto"/>
        <w:outlineLvl w:val="0"/>
        <w:rPr>
          <w:rFonts w:ascii="Arial" w:eastAsia="Times New Roman" w:hAnsi="Arial" w:cs="Arial"/>
          <w:b/>
          <w:bCs/>
          <w:color w:val="0072C6"/>
          <w:kern w:val="32"/>
          <w:sz w:val="28"/>
          <w:szCs w:val="32"/>
        </w:rPr>
      </w:pPr>
      <w:bookmarkStart w:id="12" w:name="_Toc521080043"/>
      <w:r w:rsidRPr="00932C88">
        <w:rPr>
          <w:rFonts w:ascii="Arial" w:eastAsia="Times New Roman" w:hAnsi="Arial" w:cs="Arial"/>
          <w:b/>
          <w:bCs/>
          <w:color w:val="0072C6"/>
          <w:kern w:val="32"/>
          <w:sz w:val="28"/>
          <w:szCs w:val="32"/>
        </w:rPr>
        <w:lastRenderedPageBreak/>
        <w:t>Approval of p</w:t>
      </w:r>
      <w:r w:rsidR="00150E4F" w:rsidRPr="00932C88">
        <w:rPr>
          <w:rFonts w:ascii="Arial" w:eastAsia="Times New Roman" w:hAnsi="Arial" w:cs="Arial"/>
          <w:b/>
          <w:bCs/>
          <w:color w:val="0072C6"/>
          <w:kern w:val="32"/>
          <w:sz w:val="28"/>
          <w:szCs w:val="32"/>
        </w:rPr>
        <w:t>rioritised</w:t>
      </w:r>
      <w:r w:rsidR="00525F82" w:rsidRPr="00932C88">
        <w:rPr>
          <w:rFonts w:ascii="Arial" w:eastAsia="Times New Roman" w:hAnsi="Arial" w:cs="Arial"/>
          <w:b/>
          <w:bCs/>
          <w:color w:val="0072C6"/>
          <w:kern w:val="32"/>
          <w:sz w:val="28"/>
          <w:szCs w:val="32"/>
        </w:rPr>
        <w:t xml:space="preserve"> </w:t>
      </w:r>
      <w:r w:rsidRPr="00932C88">
        <w:rPr>
          <w:rFonts w:ascii="Arial" w:eastAsia="Times New Roman" w:hAnsi="Arial" w:cs="Arial"/>
          <w:b/>
          <w:bCs/>
          <w:color w:val="0072C6"/>
          <w:kern w:val="32"/>
          <w:sz w:val="28"/>
          <w:szCs w:val="32"/>
        </w:rPr>
        <w:t>i</w:t>
      </w:r>
      <w:r w:rsidR="007F10BB" w:rsidRPr="00932C88">
        <w:rPr>
          <w:rFonts w:ascii="Arial" w:eastAsia="Times New Roman" w:hAnsi="Arial" w:cs="Arial"/>
          <w:b/>
          <w:bCs/>
          <w:color w:val="0072C6"/>
          <w:kern w:val="32"/>
          <w:sz w:val="28"/>
          <w:szCs w:val="32"/>
        </w:rPr>
        <w:t>nvestment</w:t>
      </w:r>
      <w:r w:rsidR="00150E4F" w:rsidRPr="00932C88">
        <w:rPr>
          <w:rFonts w:ascii="Arial" w:eastAsia="Times New Roman" w:hAnsi="Arial" w:cs="Arial"/>
          <w:b/>
          <w:bCs/>
          <w:color w:val="0072C6"/>
          <w:kern w:val="32"/>
          <w:sz w:val="28"/>
          <w:szCs w:val="32"/>
        </w:rPr>
        <w:t>s</w:t>
      </w:r>
      <w:bookmarkEnd w:id="12"/>
    </w:p>
    <w:p w14:paraId="0371351A" w14:textId="77777777" w:rsidR="00466B6D" w:rsidRDefault="00466B6D" w:rsidP="00466B6D">
      <w:pPr>
        <w:pStyle w:val="DocumentDate"/>
        <w:rPr>
          <w:color w:val="auto"/>
          <w:sz w:val="24"/>
        </w:rPr>
      </w:pPr>
    </w:p>
    <w:p w14:paraId="40686D69" w14:textId="361CC6A6" w:rsidR="00E058FC" w:rsidRDefault="004F5AB0" w:rsidP="00B05A0F">
      <w:pPr>
        <w:pStyle w:val="ListParagraph"/>
        <w:numPr>
          <w:ilvl w:val="1"/>
          <w:numId w:val="63"/>
        </w:numPr>
        <w:autoSpaceDE w:val="0"/>
        <w:autoSpaceDN w:val="0"/>
        <w:adjustRightInd w:val="0"/>
        <w:rPr>
          <w:rFonts w:ascii="Arial" w:hAnsi="Arial" w:cs="Arial"/>
        </w:rPr>
      </w:pPr>
      <w:r>
        <w:rPr>
          <w:rFonts w:ascii="Arial" w:hAnsi="Arial" w:cs="Arial"/>
        </w:rPr>
        <w:t>S</w:t>
      </w:r>
      <w:r w:rsidRPr="004F5AB0">
        <w:rPr>
          <w:rFonts w:ascii="Arial" w:hAnsi="Arial" w:cs="Arial"/>
        </w:rPr>
        <w:t>ystems should plan to submit their final Investment Proposal</w:t>
      </w:r>
      <w:r>
        <w:rPr>
          <w:rFonts w:ascii="Arial" w:hAnsi="Arial" w:cs="Arial"/>
        </w:rPr>
        <w:t>s</w:t>
      </w:r>
      <w:r w:rsidRPr="004F5AB0">
        <w:rPr>
          <w:rFonts w:ascii="Arial" w:hAnsi="Arial" w:cs="Arial"/>
        </w:rPr>
        <w:t xml:space="preserve"> to the appropriate regional mailboxes </w:t>
      </w:r>
      <w:r w:rsidR="00BE6EF4">
        <w:rPr>
          <w:rFonts w:ascii="Arial" w:hAnsi="Arial" w:cs="Arial"/>
        </w:rPr>
        <w:t>from 1 September 2018</w:t>
      </w:r>
      <w:r w:rsidRPr="004F5AB0">
        <w:rPr>
          <w:rFonts w:ascii="Arial" w:hAnsi="Arial" w:cs="Arial"/>
        </w:rPr>
        <w:t xml:space="preserve"> and by no later than 5 October 2018. </w:t>
      </w:r>
      <w:r>
        <w:rPr>
          <w:rFonts w:ascii="Arial" w:hAnsi="Arial" w:cs="Arial"/>
        </w:rPr>
        <w:t xml:space="preserve">This is not a competitive process. </w:t>
      </w:r>
      <w:r w:rsidR="007D55EC">
        <w:rPr>
          <w:rFonts w:ascii="Arial" w:hAnsi="Arial" w:cs="Arial"/>
        </w:rPr>
        <w:t>W</w:t>
      </w:r>
      <w:r w:rsidR="0038453C">
        <w:rPr>
          <w:rFonts w:ascii="Arial" w:hAnsi="Arial" w:cs="Arial"/>
        </w:rPr>
        <w:t>e</w:t>
      </w:r>
      <w:r w:rsidR="007D55EC">
        <w:rPr>
          <w:rFonts w:ascii="Arial" w:hAnsi="Arial" w:cs="Arial"/>
        </w:rPr>
        <w:t xml:space="preserve"> will review </w:t>
      </w:r>
      <w:r w:rsidR="004B239C">
        <w:rPr>
          <w:rFonts w:ascii="Arial" w:hAnsi="Arial" w:cs="Arial"/>
        </w:rPr>
        <w:t>STP</w:t>
      </w:r>
      <w:r w:rsidR="00F461B7">
        <w:rPr>
          <w:rFonts w:ascii="Arial" w:hAnsi="Arial" w:cs="Arial"/>
        </w:rPr>
        <w:t>/ICS</w:t>
      </w:r>
      <w:r w:rsidR="007D55EC">
        <w:rPr>
          <w:rFonts w:ascii="Arial" w:hAnsi="Arial" w:cs="Arial"/>
        </w:rPr>
        <w:t xml:space="preserve"> plans as an</w:t>
      </w:r>
      <w:r w:rsidR="0038453C">
        <w:rPr>
          <w:rFonts w:ascii="Arial" w:hAnsi="Arial" w:cs="Arial"/>
        </w:rPr>
        <w:t>d</w:t>
      </w:r>
      <w:r w:rsidR="007D55EC">
        <w:rPr>
          <w:rFonts w:ascii="Arial" w:hAnsi="Arial" w:cs="Arial"/>
        </w:rPr>
        <w:t xml:space="preserve"> when they are received</w:t>
      </w:r>
      <w:r>
        <w:rPr>
          <w:rFonts w:ascii="Arial" w:hAnsi="Arial" w:cs="Arial"/>
        </w:rPr>
        <w:t xml:space="preserve">, so that they </w:t>
      </w:r>
      <w:r w:rsidRPr="004F5AB0">
        <w:rPr>
          <w:rFonts w:ascii="Arial" w:hAnsi="Arial" w:cs="Arial"/>
        </w:rPr>
        <w:t>receive endorsement within four weeks of their receipt.</w:t>
      </w:r>
      <w:r>
        <w:rPr>
          <w:rFonts w:ascii="Arial" w:hAnsi="Arial" w:cs="Arial"/>
        </w:rPr>
        <w:t xml:space="preserve"> </w:t>
      </w:r>
      <w:r w:rsidR="004B239C">
        <w:rPr>
          <w:rFonts w:ascii="Arial" w:hAnsi="Arial" w:cs="Arial"/>
        </w:rPr>
        <w:t xml:space="preserve">Early submissions </w:t>
      </w:r>
      <w:r w:rsidR="00FE02C5">
        <w:rPr>
          <w:rFonts w:ascii="Arial" w:hAnsi="Arial" w:cs="Arial"/>
        </w:rPr>
        <w:t xml:space="preserve">will provide more project time before the end of the year and increase confidence that money can be spent wisely in year </w:t>
      </w:r>
      <w:r w:rsidR="00CB47D0">
        <w:rPr>
          <w:rFonts w:ascii="Arial" w:hAnsi="Arial" w:cs="Arial"/>
        </w:rPr>
        <w:t>one</w:t>
      </w:r>
      <w:r w:rsidR="00FE02C5">
        <w:rPr>
          <w:rFonts w:ascii="Arial" w:hAnsi="Arial" w:cs="Arial"/>
        </w:rPr>
        <w:t>.</w:t>
      </w:r>
      <w:r w:rsidR="00E058FC">
        <w:rPr>
          <w:rFonts w:ascii="Arial" w:hAnsi="Arial" w:cs="Arial"/>
        </w:rPr>
        <w:t xml:space="preserve"> </w:t>
      </w:r>
      <w:r>
        <w:rPr>
          <w:rFonts w:ascii="Arial" w:hAnsi="Arial" w:cs="Arial"/>
        </w:rPr>
        <w:t xml:space="preserve">Endorsement of the Investment Proposal </w:t>
      </w:r>
      <w:r w:rsidR="00BF3BD2">
        <w:rPr>
          <w:rFonts w:ascii="Arial" w:hAnsi="Arial" w:cs="Arial"/>
        </w:rPr>
        <w:t xml:space="preserve">should </w:t>
      </w:r>
      <w:r w:rsidR="00B67849">
        <w:rPr>
          <w:rFonts w:ascii="Arial" w:hAnsi="Arial" w:cs="Arial"/>
        </w:rPr>
        <w:t>give</w:t>
      </w:r>
      <w:r w:rsidR="00BF3BD2">
        <w:rPr>
          <w:rFonts w:ascii="Arial" w:hAnsi="Arial" w:cs="Arial"/>
        </w:rPr>
        <w:t xml:space="preserve"> </w:t>
      </w:r>
      <w:r>
        <w:rPr>
          <w:rFonts w:ascii="Arial" w:hAnsi="Arial" w:cs="Arial"/>
        </w:rPr>
        <w:t xml:space="preserve">providers </w:t>
      </w:r>
      <w:r w:rsidR="00BF3BD2">
        <w:rPr>
          <w:rFonts w:ascii="Arial" w:hAnsi="Arial" w:cs="Arial"/>
        </w:rPr>
        <w:t>confiden</w:t>
      </w:r>
      <w:r w:rsidR="00396D7C">
        <w:rPr>
          <w:rFonts w:ascii="Arial" w:hAnsi="Arial" w:cs="Arial"/>
        </w:rPr>
        <w:t>ce</w:t>
      </w:r>
      <w:r w:rsidR="004522E6">
        <w:rPr>
          <w:rFonts w:ascii="Arial" w:hAnsi="Arial" w:cs="Arial"/>
        </w:rPr>
        <w:t xml:space="preserve"> that, subject to </w:t>
      </w:r>
      <w:r w:rsidR="00396D7C">
        <w:rPr>
          <w:rFonts w:ascii="Arial" w:hAnsi="Arial" w:cs="Arial"/>
        </w:rPr>
        <w:t>fu</w:t>
      </w:r>
      <w:r w:rsidR="00BF3BD2">
        <w:rPr>
          <w:rFonts w:ascii="Arial" w:hAnsi="Arial" w:cs="Arial"/>
        </w:rPr>
        <w:t>n</w:t>
      </w:r>
      <w:r w:rsidR="00396D7C">
        <w:rPr>
          <w:rFonts w:ascii="Arial" w:hAnsi="Arial" w:cs="Arial"/>
        </w:rPr>
        <w:t>ding agreement</w:t>
      </w:r>
      <w:r w:rsidR="00BF3BD2">
        <w:rPr>
          <w:rFonts w:ascii="Arial" w:hAnsi="Arial" w:cs="Arial"/>
        </w:rPr>
        <w:t xml:space="preserve"> and local business case approval, funding will be made</w:t>
      </w:r>
      <w:r w:rsidR="00626C6D">
        <w:rPr>
          <w:rFonts w:ascii="Arial" w:hAnsi="Arial" w:cs="Arial"/>
        </w:rPr>
        <w:t xml:space="preserve"> available for the</w:t>
      </w:r>
      <w:r>
        <w:rPr>
          <w:rFonts w:ascii="Arial" w:hAnsi="Arial" w:cs="Arial"/>
        </w:rPr>
        <w:t>ir</w:t>
      </w:r>
      <w:r w:rsidR="00626C6D">
        <w:rPr>
          <w:rFonts w:ascii="Arial" w:hAnsi="Arial" w:cs="Arial"/>
        </w:rPr>
        <w:t xml:space="preserve"> </w:t>
      </w:r>
      <w:r>
        <w:rPr>
          <w:rFonts w:ascii="Arial" w:hAnsi="Arial" w:cs="Arial"/>
        </w:rPr>
        <w:t xml:space="preserve">year </w:t>
      </w:r>
      <w:r w:rsidR="00CB47D0">
        <w:rPr>
          <w:rFonts w:ascii="Arial" w:hAnsi="Arial" w:cs="Arial"/>
        </w:rPr>
        <w:t>one</w:t>
      </w:r>
      <w:r>
        <w:rPr>
          <w:rFonts w:ascii="Arial" w:hAnsi="Arial" w:cs="Arial"/>
        </w:rPr>
        <w:t xml:space="preserve"> </w:t>
      </w:r>
      <w:r w:rsidR="00626C6D">
        <w:rPr>
          <w:rFonts w:ascii="Arial" w:hAnsi="Arial" w:cs="Arial"/>
        </w:rPr>
        <w:t>projects.</w:t>
      </w:r>
      <w:r w:rsidR="00BF3BD2">
        <w:rPr>
          <w:rFonts w:ascii="Arial" w:hAnsi="Arial" w:cs="Arial"/>
        </w:rPr>
        <w:t xml:space="preserve"> </w:t>
      </w:r>
    </w:p>
    <w:p w14:paraId="2EA25CCF" w14:textId="77777777" w:rsidR="00E058FC" w:rsidRDefault="00E058FC" w:rsidP="0038453C">
      <w:pPr>
        <w:pStyle w:val="ListParagraph"/>
        <w:autoSpaceDE w:val="0"/>
        <w:autoSpaceDN w:val="0"/>
        <w:adjustRightInd w:val="0"/>
        <w:ind w:left="576"/>
        <w:rPr>
          <w:rFonts w:ascii="Arial" w:hAnsi="Arial" w:cs="Arial"/>
        </w:rPr>
      </w:pPr>
    </w:p>
    <w:p w14:paraId="290ECC5C" w14:textId="68766918" w:rsidR="004B239C" w:rsidRDefault="007F10BB" w:rsidP="00B05A0F">
      <w:pPr>
        <w:pStyle w:val="ListParagraph"/>
        <w:numPr>
          <w:ilvl w:val="1"/>
          <w:numId w:val="63"/>
        </w:numPr>
        <w:autoSpaceDE w:val="0"/>
        <w:autoSpaceDN w:val="0"/>
        <w:adjustRightInd w:val="0"/>
        <w:rPr>
          <w:rFonts w:ascii="Arial" w:hAnsi="Arial" w:cs="Arial"/>
        </w:rPr>
      </w:pPr>
      <w:r>
        <w:rPr>
          <w:rFonts w:ascii="Arial" w:hAnsi="Arial" w:cs="Arial"/>
        </w:rPr>
        <w:t>The I</w:t>
      </w:r>
      <w:r w:rsidR="006C3B74">
        <w:rPr>
          <w:rFonts w:ascii="Arial" w:hAnsi="Arial" w:cs="Arial"/>
        </w:rPr>
        <w:t xml:space="preserve">nvestment </w:t>
      </w:r>
      <w:r w:rsidR="00A15EF2">
        <w:rPr>
          <w:rFonts w:ascii="Arial" w:hAnsi="Arial" w:cs="Arial"/>
        </w:rPr>
        <w:t xml:space="preserve">Proposal </w:t>
      </w:r>
      <w:r w:rsidR="006C3B74">
        <w:rPr>
          <w:rFonts w:ascii="Arial" w:hAnsi="Arial" w:cs="Arial"/>
        </w:rPr>
        <w:t xml:space="preserve">will detail a portfolio of projects that will utilise the </w:t>
      </w:r>
      <w:r w:rsidR="002D7D65">
        <w:rPr>
          <w:rFonts w:ascii="Arial" w:hAnsi="Arial" w:cs="Arial"/>
        </w:rPr>
        <w:t>20</w:t>
      </w:r>
      <w:r w:rsidR="006C3B74">
        <w:rPr>
          <w:rFonts w:ascii="Arial" w:hAnsi="Arial" w:cs="Arial"/>
        </w:rPr>
        <w:t>18/19</w:t>
      </w:r>
      <w:r w:rsidR="004F5AB0">
        <w:rPr>
          <w:rFonts w:ascii="Arial" w:hAnsi="Arial" w:cs="Arial"/>
        </w:rPr>
        <w:t xml:space="preserve">, </w:t>
      </w:r>
      <w:r w:rsidR="002D7D65">
        <w:rPr>
          <w:rFonts w:ascii="Arial" w:hAnsi="Arial" w:cs="Arial"/>
        </w:rPr>
        <w:t>20</w:t>
      </w:r>
      <w:r w:rsidR="008921C9">
        <w:rPr>
          <w:rFonts w:ascii="Arial" w:hAnsi="Arial" w:cs="Arial"/>
        </w:rPr>
        <w:t xml:space="preserve">19/20 </w:t>
      </w:r>
      <w:r w:rsidR="00F02FBD">
        <w:rPr>
          <w:rFonts w:ascii="Arial" w:hAnsi="Arial" w:cs="Arial"/>
        </w:rPr>
        <w:t xml:space="preserve">and </w:t>
      </w:r>
      <w:r w:rsidR="002D7D65">
        <w:rPr>
          <w:rFonts w:ascii="Arial" w:hAnsi="Arial" w:cs="Arial"/>
        </w:rPr>
        <w:t>20</w:t>
      </w:r>
      <w:r w:rsidR="00F02FBD">
        <w:rPr>
          <w:rFonts w:ascii="Arial" w:hAnsi="Arial" w:cs="Arial"/>
        </w:rPr>
        <w:t>20/21</w:t>
      </w:r>
      <w:r w:rsidR="00346398">
        <w:rPr>
          <w:rFonts w:ascii="Arial" w:hAnsi="Arial" w:cs="Arial"/>
        </w:rPr>
        <w:t xml:space="preserve"> </w:t>
      </w:r>
      <w:r w:rsidR="006C3B74">
        <w:rPr>
          <w:rFonts w:ascii="Arial" w:hAnsi="Arial" w:cs="Arial"/>
        </w:rPr>
        <w:t>STP allocation</w:t>
      </w:r>
      <w:r w:rsidR="008921C9">
        <w:rPr>
          <w:rFonts w:ascii="Arial" w:hAnsi="Arial" w:cs="Arial"/>
        </w:rPr>
        <w:t>s</w:t>
      </w:r>
      <w:r w:rsidR="00451C6A">
        <w:rPr>
          <w:rFonts w:ascii="Arial" w:hAnsi="Arial" w:cs="Arial"/>
        </w:rPr>
        <w:t>, with the total funding requested matching the allocation profile</w:t>
      </w:r>
      <w:r w:rsidR="006C3B74">
        <w:rPr>
          <w:rFonts w:ascii="Arial" w:hAnsi="Arial" w:cs="Arial"/>
        </w:rPr>
        <w:t>.</w:t>
      </w:r>
      <w:r w:rsidR="00346398">
        <w:rPr>
          <w:rFonts w:ascii="Arial" w:hAnsi="Arial" w:cs="Arial"/>
        </w:rPr>
        <w:t xml:space="preserve">  </w:t>
      </w:r>
      <w:r w:rsidR="004F5AB0">
        <w:rPr>
          <w:rFonts w:ascii="Arial" w:hAnsi="Arial" w:cs="Arial"/>
        </w:rPr>
        <w:t>T</w:t>
      </w:r>
      <w:r w:rsidR="00346398">
        <w:rPr>
          <w:rFonts w:ascii="Arial" w:hAnsi="Arial" w:cs="Arial"/>
        </w:rPr>
        <w:t>he proposals can be indicative in future years and subject to further review.</w:t>
      </w:r>
    </w:p>
    <w:p w14:paraId="37C2BBD1" w14:textId="77777777" w:rsidR="004B239C" w:rsidRDefault="004B239C" w:rsidP="004B239C">
      <w:pPr>
        <w:pStyle w:val="ListParagraph"/>
        <w:autoSpaceDE w:val="0"/>
        <w:autoSpaceDN w:val="0"/>
        <w:adjustRightInd w:val="0"/>
        <w:ind w:left="576"/>
        <w:rPr>
          <w:rFonts w:ascii="Arial" w:hAnsi="Arial" w:cs="Arial"/>
        </w:rPr>
      </w:pPr>
    </w:p>
    <w:p w14:paraId="44AC04F6" w14:textId="2F06588E" w:rsidR="004B239C" w:rsidRDefault="007F10BB" w:rsidP="00B05A0F">
      <w:pPr>
        <w:pStyle w:val="ListParagraph"/>
        <w:numPr>
          <w:ilvl w:val="1"/>
          <w:numId w:val="63"/>
        </w:numPr>
        <w:autoSpaceDE w:val="0"/>
        <w:autoSpaceDN w:val="0"/>
        <w:adjustRightInd w:val="0"/>
        <w:rPr>
          <w:rFonts w:ascii="Arial" w:hAnsi="Arial" w:cs="Arial"/>
        </w:rPr>
      </w:pPr>
      <w:r>
        <w:rPr>
          <w:rFonts w:ascii="Arial" w:hAnsi="Arial" w:cs="Arial"/>
        </w:rPr>
        <w:t xml:space="preserve">The submitted Investment </w:t>
      </w:r>
      <w:r w:rsidR="00A15EF2">
        <w:rPr>
          <w:rFonts w:ascii="Arial" w:hAnsi="Arial" w:cs="Arial"/>
        </w:rPr>
        <w:t xml:space="preserve">Proposal </w:t>
      </w:r>
      <w:r w:rsidR="004B239C">
        <w:rPr>
          <w:rFonts w:ascii="Arial" w:hAnsi="Arial" w:cs="Arial"/>
        </w:rPr>
        <w:t>must be endorsed by the STP</w:t>
      </w:r>
      <w:r w:rsidR="00F461B7">
        <w:rPr>
          <w:rFonts w:ascii="Arial" w:hAnsi="Arial" w:cs="Arial"/>
        </w:rPr>
        <w:t>/ICS</w:t>
      </w:r>
      <w:r w:rsidR="00836CB4">
        <w:rPr>
          <w:rFonts w:ascii="Arial" w:hAnsi="Arial" w:cs="Arial"/>
        </w:rPr>
        <w:t xml:space="preserve"> </w:t>
      </w:r>
      <w:r w:rsidR="004B239C">
        <w:rPr>
          <w:rFonts w:ascii="Arial" w:hAnsi="Arial" w:cs="Arial"/>
        </w:rPr>
        <w:t>lead</w:t>
      </w:r>
      <w:r w:rsidR="00836CB4">
        <w:rPr>
          <w:rFonts w:ascii="Arial" w:hAnsi="Arial" w:cs="Arial"/>
        </w:rPr>
        <w:t>er</w:t>
      </w:r>
      <w:r w:rsidR="001613D0">
        <w:rPr>
          <w:rFonts w:ascii="Arial" w:hAnsi="Arial" w:cs="Arial"/>
        </w:rPr>
        <w:t>ship</w:t>
      </w:r>
      <w:r w:rsidR="004B239C">
        <w:rPr>
          <w:rFonts w:ascii="Arial" w:hAnsi="Arial" w:cs="Arial"/>
        </w:rPr>
        <w:t xml:space="preserve">. Any additional local endorsement </w:t>
      </w:r>
      <w:r w:rsidR="00C41D36">
        <w:rPr>
          <w:rFonts w:ascii="Arial" w:hAnsi="Arial" w:cs="Arial"/>
        </w:rPr>
        <w:t>is at the discretion of the STP</w:t>
      </w:r>
      <w:r w:rsidR="00F461B7">
        <w:rPr>
          <w:rFonts w:ascii="Arial" w:hAnsi="Arial" w:cs="Arial"/>
        </w:rPr>
        <w:t>/ICS</w:t>
      </w:r>
      <w:r w:rsidR="00C41D36">
        <w:rPr>
          <w:rFonts w:ascii="Arial" w:hAnsi="Arial" w:cs="Arial"/>
        </w:rPr>
        <w:t xml:space="preserve"> lead</w:t>
      </w:r>
      <w:r w:rsidR="00836CB4">
        <w:rPr>
          <w:rFonts w:ascii="Arial" w:hAnsi="Arial" w:cs="Arial"/>
        </w:rPr>
        <w:t>er</w:t>
      </w:r>
      <w:r w:rsidR="002E6CD4">
        <w:rPr>
          <w:rFonts w:ascii="Arial" w:hAnsi="Arial" w:cs="Arial"/>
        </w:rPr>
        <w:t xml:space="preserve"> (or the person they have identified to lead the development process</w:t>
      </w:r>
      <w:r w:rsidR="008422B2">
        <w:rPr>
          <w:rFonts w:ascii="Arial" w:hAnsi="Arial" w:cs="Arial"/>
        </w:rPr>
        <w:t xml:space="preserve"> – potentially the STP</w:t>
      </w:r>
      <w:r w:rsidR="00F461B7">
        <w:rPr>
          <w:rFonts w:ascii="Arial" w:hAnsi="Arial" w:cs="Arial"/>
        </w:rPr>
        <w:t>/ICS</w:t>
      </w:r>
      <w:r w:rsidR="008422B2">
        <w:rPr>
          <w:rFonts w:ascii="Arial" w:hAnsi="Arial" w:cs="Arial"/>
        </w:rPr>
        <w:t xml:space="preserve"> digital lead or equivalent</w:t>
      </w:r>
      <w:r w:rsidR="002E6CD4">
        <w:rPr>
          <w:rFonts w:ascii="Arial" w:hAnsi="Arial" w:cs="Arial"/>
        </w:rPr>
        <w:t>)</w:t>
      </w:r>
      <w:r w:rsidR="00C41D36">
        <w:rPr>
          <w:rFonts w:ascii="Arial" w:hAnsi="Arial" w:cs="Arial"/>
        </w:rPr>
        <w:t xml:space="preserve">. </w:t>
      </w:r>
    </w:p>
    <w:p w14:paraId="16472883" w14:textId="77777777" w:rsidR="004B239C" w:rsidRDefault="004B239C" w:rsidP="004B239C">
      <w:pPr>
        <w:pStyle w:val="ListParagraph"/>
        <w:autoSpaceDE w:val="0"/>
        <w:autoSpaceDN w:val="0"/>
        <w:adjustRightInd w:val="0"/>
        <w:ind w:left="576"/>
        <w:rPr>
          <w:rFonts w:ascii="Arial" w:hAnsi="Arial" w:cs="Arial"/>
        </w:rPr>
      </w:pPr>
    </w:p>
    <w:p w14:paraId="42E9E695" w14:textId="49A7246B" w:rsidR="004B239C" w:rsidRPr="00870C20" w:rsidRDefault="004B239C" w:rsidP="00B05A0F">
      <w:pPr>
        <w:pStyle w:val="ListParagraph"/>
        <w:numPr>
          <w:ilvl w:val="1"/>
          <w:numId w:val="63"/>
        </w:numPr>
        <w:autoSpaceDE w:val="0"/>
        <w:autoSpaceDN w:val="0"/>
        <w:adjustRightInd w:val="0"/>
        <w:rPr>
          <w:rFonts w:ascii="Arial" w:hAnsi="Arial" w:cs="Arial"/>
        </w:rPr>
      </w:pPr>
      <w:r w:rsidRPr="008651F2">
        <w:rPr>
          <w:rFonts w:ascii="Arial" w:hAnsi="Arial" w:cs="Arial"/>
        </w:rPr>
        <w:t xml:space="preserve">A template for the </w:t>
      </w:r>
      <w:r w:rsidR="007F10BB">
        <w:rPr>
          <w:rFonts w:ascii="Arial" w:hAnsi="Arial" w:cs="Arial"/>
        </w:rPr>
        <w:t xml:space="preserve">Investment </w:t>
      </w:r>
      <w:r w:rsidR="00A15EF2">
        <w:rPr>
          <w:rFonts w:ascii="Arial" w:hAnsi="Arial" w:cs="Arial"/>
        </w:rPr>
        <w:t>Proposal</w:t>
      </w:r>
      <w:r w:rsidR="00A15EF2" w:rsidRPr="002610FB">
        <w:rPr>
          <w:rFonts w:ascii="Arial" w:hAnsi="Arial" w:cs="Arial"/>
        </w:rPr>
        <w:t xml:space="preserve"> </w:t>
      </w:r>
      <w:r w:rsidR="00D259ED">
        <w:rPr>
          <w:rFonts w:ascii="Arial" w:hAnsi="Arial" w:cs="Arial"/>
        </w:rPr>
        <w:t>is provided alongside this prospectus</w:t>
      </w:r>
      <w:r w:rsidR="00C41D36" w:rsidRPr="00870C20">
        <w:rPr>
          <w:rFonts w:ascii="Arial" w:hAnsi="Arial" w:cs="Arial"/>
        </w:rPr>
        <w:t>. In summary, it consists of:</w:t>
      </w:r>
    </w:p>
    <w:p w14:paraId="223FB66D" w14:textId="77777777" w:rsidR="00C41D36" w:rsidRDefault="00886872" w:rsidP="00C41D36">
      <w:pPr>
        <w:pStyle w:val="ListParagraph"/>
        <w:numPr>
          <w:ilvl w:val="0"/>
          <w:numId w:val="47"/>
        </w:numPr>
        <w:ind w:left="1276"/>
        <w:rPr>
          <w:rFonts w:ascii="Arial" w:hAnsi="Arial" w:cs="Arial"/>
        </w:rPr>
      </w:pPr>
      <w:r>
        <w:rPr>
          <w:rFonts w:ascii="Arial" w:hAnsi="Arial" w:cs="Arial"/>
        </w:rPr>
        <w:t>a</w:t>
      </w:r>
      <w:r w:rsidR="00C41D36">
        <w:rPr>
          <w:rFonts w:ascii="Arial" w:hAnsi="Arial" w:cs="Arial"/>
        </w:rPr>
        <w:t xml:space="preserve"> summary </w:t>
      </w:r>
      <w:r w:rsidR="00DD35E0">
        <w:rPr>
          <w:rFonts w:ascii="Arial" w:hAnsi="Arial" w:cs="Arial"/>
        </w:rPr>
        <w:t xml:space="preserve">and descriptions </w:t>
      </w:r>
      <w:r w:rsidR="00C41D36">
        <w:rPr>
          <w:rFonts w:ascii="Arial" w:hAnsi="Arial" w:cs="Arial"/>
        </w:rPr>
        <w:t xml:space="preserve">of the projects in the </w:t>
      </w:r>
      <w:r w:rsidR="001F7FBA">
        <w:rPr>
          <w:rFonts w:ascii="Arial" w:hAnsi="Arial" w:cs="Arial"/>
        </w:rPr>
        <w:t>portfolio</w:t>
      </w:r>
    </w:p>
    <w:p w14:paraId="01463457" w14:textId="77777777" w:rsidR="00C41D36" w:rsidRDefault="00DD35E0" w:rsidP="00DD35E0">
      <w:pPr>
        <w:pStyle w:val="ListParagraph"/>
        <w:numPr>
          <w:ilvl w:val="0"/>
          <w:numId w:val="47"/>
        </w:numPr>
        <w:ind w:left="1276"/>
        <w:rPr>
          <w:rFonts w:ascii="Arial" w:hAnsi="Arial" w:cs="Arial"/>
        </w:rPr>
      </w:pPr>
      <w:r>
        <w:rPr>
          <w:rFonts w:ascii="Arial" w:hAnsi="Arial" w:cs="Arial"/>
        </w:rPr>
        <w:t>a case for the portfolio as a whole delivering value and supporting transformation</w:t>
      </w:r>
    </w:p>
    <w:p w14:paraId="7D529EAE" w14:textId="2966D91F" w:rsidR="00DD35E0" w:rsidRDefault="00DD35E0" w:rsidP="00DD35E0">
      <w:pPr>
        <w:pStyle w:val="ListParagraph"/>
        <w:numPr>
          <w:ilvl w:val="0"/>
          <w:numId w:val="47"/>
        </w:numPr>
        <w:ind w:left="1276"/>
        <w:rPr>
          <w:rFonts w:ascii="Arial" w:hAnsi="Arial" w:cs="Arial"/>
        </w:rPr>
      </w:pPr>
      <w:r>
        <w:rPr>
          <w:rFonts w:ascii="Arial" w:hAnsi="Arial" w:cs="Arial"/>
        </w:rPr>
        <w:t>a set of responses to build delivery confidence in the portfolio</w:t>
      </w:r>
      <w:r w:rsidR="00B54350">
        <w:rPr>
          <w:rFonts w:ascii="Arial" w:hAnsi="Arial" w:cs="Arial"/>
        </w:rPr>
        <w:t>, including details on local match funding</w:t>
      </w:r>
    </w:p>
    <w:p w14:paraId="0B7F5667" w14:textId="500A6F8E" w:rsidR="001613D0" w:rsidRPr="00BE6EF4" w:rsidRDefault="00886872" w:rsidP="00E82113">
      <w:pPr>
        <w:pStyle w:val="ListParagraph"/>
        <w:numPr>
          <w:ilvl w:val="0"/>
          <w:numId w:val="47"/>
        </w:numPr>
        <w:ind w:left="1276"/>
        <w:rPr>
          <w:rFonts w:ascii="Arial" w:hAnsi="Arial" w:cs="Arial"/>
        </w:rPr>
      </w:pPr>
      <w:proofErr w:type="gramStart"/>
      <w:r>
        <w:rPr>
          <w:rFonts w:ascii="Arial" w:hAnsi="Arial" w:cs="Arial"/>
        </w:rPr>
        <w:t>a</w:t>
      </w:r>
      <w:proofErr w:type="gramEnd"/>
      <w:r w:rsidR="00DD35E0">
        <w:rPr>
          <w:rFonts w:ascii="Arial" w:hAnsi="Arial" w:cs="Arial"/>
        </w:rPr>
        <w:t xml:space="preserve"> declaration </w:t>
      </w:r>
      <w:r w:rsidR="00C41D36">
        <w:rPr>
          <w:rFonts w:ascii="Arial" w:hAnsi="Arial" w:cs="Arial"/>
        </w:rPr>
        <w:t>for STP</w:t>
      </w:r>
      <w:r w:rsidR="00F461B7">
        <w:rPr>
          <w:rFonts w:ascii="Arial" w:hAnsi="Arial" w:cs="Arial"/>
        </w:rPr>
        <w:t>/ICS</w:t>
      </w:r>
      <w:r w:rsidR="00C41D36">
        <w:rPr>
          <w:rFonts w:ascii="Arial" w:hAnsi="Arial" w:cs="Arial"/>
        </w:rPr>
        <w:t xml:space="preserve">s to acknowledge funding </w:t>
      </w:r>
      <w:r w:rsidR="002E6CD4">
        <w:rPr>
          <w:rFonts w:ascii="Arial" w:hAnsi="Arial" w:cs="Arial"/>
        </w:rPr>
        <w:t>rules</w:t>
      </w:r>
      <w:r w:rsidR="00C41D36">
        <w:rPr>
          <w:rFonts w:ascii="Arial" w:hAnsi="Arial" w:cs="Arial"/>
        </w:rPr>
        <w:t>, and reciprocal requirements and expectations</w:t>
      </w:r>
      <w:r w:rsidR="00742982">
        <w:rPr>
          <w:rFonts w:ascii="Arial" w:hAnsi="Arial" w:cs="Arial"/>
        </w:rPr>
        <w:t>.</w:t>
      </w:r>
    </w:p>
    <w:p w14:paraId="2F226E9B" w14:textId="77777777" w:rsidR="004B239C" w:rsidRPr="004B239C" w:rsidRDefault="004B239C" w:rsidP="004B239C">
      <w:pPr>
        <w:pStyle w:val="ListParagraph"/>
        <w:rPr>
          <w:rFonts w:ascii="Arial" w:hAnsi="Arial" w:cs="Arial"/>
        </w:rPr>
      </w:pPr>
    </w:p>
    <w:p w14:paraId="56FA0B32" w14:textId="7DABBA40" w:rsidR="000F6790" w:rsidRDefault="000F6790" w:rsidP="00B05A0F">
      <w:pPr>
        <w:pStyle w:val="ListParagraph"/>
        <w:numPr>
          <w:ilvl w:val="1"/>
          <w:numId w:val="63"/>
        </w:numPr>
        <w:autoSpaceDE w:val="0"/>
        <w:autoSpaceDN w:val="0"/>
        <w:adjustRightInd w:val="0"/>
        <w:rPr>
          <w:rFonts w:ascii="Arial" w:hAnsi="Arial" w:cs="Arial"/>
        </w:rPr>
      </w:pPr>
      <w:r>
        <w:rPr>
          <w:rFonts w:ascii="Arial" w:hAnsi="Arial" w:cs="Arial"/>
        </w:rPr>
        <w:t xml:space="preserve">The </w:t>
      </w:r>
      <w:r w:rsidR="007F10BB">
        <w:rPr>
          <w:rFonts w:ascii="Arial" w:hAnsi="Arial" w:cs="Arial"/>
        </w:rPr>
        <w:t xml:space="preserve">Investment </w:t>
      </w:r>
      <w:r w:rsidR="00A15EF2">
        <w:rPr>
          <w:rFonts w:ascii="Arial" w:hAnsi="Arial" w:cs="Arial"/>
        </w:rPr>
        <w:t xml:space="preserve">Proposal </w:t>
      </w:r>
      <w:r>
        <w:rPr>
          <w:rFonts w:ascii="Arial" w:hAnsi="Arial" w:cs="Arial"/>
        </w:rPr>
        <w:t>is not a business case</w:t>
      </w:r>
      <w:r w:rsidR="002E6CD4">
        <w:rPr>
          <w:rFonts w:ascii="Arial" w:hAnsi="Arial" w:cs="Arial"/>
        </w:rPr>
        <w:t xml:space="preserve">. </w:t>
      </w:r>
      <w:r w:rsidR="00334F57" w:rsidRPr="00334F57">
        <w:rPr>
          <w:rFonts w:ascii="Arial" w:hAnsi="Arial" w:cs="Arial"/>
        </w:rPr>
        <w:t>Further steps need to be navigated before funding is released</w:t>
      </w:r>
      <w:r w:rsidR="00786E9F">
        <w:rPr>
          <w:rFonts w:ascii="Arial" w:hAnsi="Arial" w:cs="Arial"/>
        </w:rPr>
        <w:t xml:space="preserve"> for individual projects</w:t>
      </w:r>
      <w:r w:rsidR="00334F57">
        <w:rPr>
          <w:rFonts w:ascii="Arial" w:hAnsi="Arial" w:cs="Arial"/>
        </w:rPr>
        <w:t>, including loca</w:t>
      </w:r>
      <w:r w:rsidR="000F7F18">
        <w:rPr>
          <w:rFonts w:ascii="Arial" w:hAnsi="Arial" w:cs="Arial"/>
        </w:rPr>
        <w:t xml:space="preserve">l endorsement of project </w:t>
      </w:r>
      <w:r w:rsidR="00334F57">
        <w:rPr>
          <w:rFonts w:ascii="Arial" w:hAnsi="Arial" w:cs="Arial"/>
        </w:rPr>
        <w:t>level detailed business cases</w:t>
      </w:r>
      <w:r w:rsidR="00334F57" w:rsidRPr="00334F57">
        <w:rPr>
          <w:rFonts w:ascii="Arial" w:hAnsi="Arial" w:cs="Arial"/>
        </w:rPr>
        <w:t xml:space="preserve"> (see section </w:t>
      </w:r>
      <w:r w:rsidR="008771B5">
        <w:rPr>
          <w:rFonts w:ascii="Arial" w:hAnsi="Arial" w:cs="Arial"/>
        </w:rPr>
        <w:t>6</w:t>
      </w:r>
      <w:r w:rsidR="00334F57" w:rsidRPr="00334F57">
        <w:rPr>
          <w:rFonts w:ascii="Arial" w:hAnsi="Arial" w:cs="Arial"/>
        </w:rPr>
        <w:t>).</w:t>
      </w:r>
    </w:p>
    <w:p w14:paraId="518C63AA" w14:textId="77777777" w:rsidR="000F6790" w:rsidRDefault="000F6790" w:rsidP="000F6790">
      <w:pPr>
        <w:pStyle w:val="ListParagraph"/>
        <w:autoSpaceDE w:val="0"/>
        <w:autoSpaceDN w:val="0"/>
        <w:adjustRightInd w:val="0"/>
        <w:ind w:left="576"/>
        <w:rPr>
          <w:rFonts w:ascii="Arial" w:hAnsi="Arial" w:cs="Arial"/>
        </w:rPr>
      </w:pPr>
    </w:p>
    <w:p w14:paraId="11D85D2F" w14:textId="04F5AF23" w:rsidR="00023F26" w:rsidRDefault="00023F26" w:rsidP="00B05A0F">
      <w:pPr>
        <w:pStyle w:val="ListParagraph"/>
        <w:numPr>
          <w:ilvl w:val="1"/>
          <w:numId w:val="63"/>
        </w:numPr>
        <w:autoSpaceDE w:val="0"/>
        <w:autoSpaceDN w:val="0"/>
        <w:adjustRightInd w:val="0"/>
        <w:rPr>
          <w:rFonts w:ascii="Arial" w:hAnsi="Arial" w:cs="Arial"/>
        </w:rPr>
      </w:pPr>
      <w:r>
        <w:rPr>
          <w:rFonts w:ascii="Arial" w:hAnsi="Arial" w:cs="Arial"/>
        </w:rPr>
        <w:t xml:space="preserve">NHS England </w:t>
      </w:r>
      <w:r w:rsidR="00B73A65">
        <w:rPr>
          <w:rFonts w:ascii="Arial" w:hAnsi="Arial" w:cs="Arial"/>
        </w:rPr>
        <w:t xml:space="preserve">regional </w:t>
      </w:r>
      <w:r>
        <w:rPr>
          <w:rFonts w:ascii="Arial" w:hAnsi="Arial" w:cs="Arial"/>
        </w:rPr>
        <w:t xml:space="preserve">resources are available to provide challenge and support during the </w:t>
      </w:r>
      <w:r w:rsidR="00381951">
        <w:rPr>
          <w:rFonts w:ascii="Arial" w:hAnsi="Arial" w:cs="Arial"/>
        </w:rPr>
        <w:t xml:space="preserve">prioritisation and </w:t>
      </w:r>
      <w:r>
        <w:rPr>
          <w:rFonts w:ascii="Arial" w:hAnsi="Arial" w:cs="Arial"/>
        </w:rPr>
        <w:t>development pro</w:t>
      </w:r>
      <w:r w:rsidR="007F10BB">
        <w:rPr>
          <w:rFonts w:ascii="Arial" w:hAnsi="Arial" w:cs="Arial"/>
        </w:rPr>
        <w:t>cess. This can ensure that the I</w:t>
      </w:r>
      <w:r>
        <w:rPr>
          <w:rFonts w:ascii="Arial" w:hAnsi="Arial" w:cs="Arial"/>
        </w:rPr>
        <w:t xml:space="preserve">nvestment </w:t>
      </w:r>
      <w:r w:rsidR="00A15EF2">
        <w:rPr>
          <w:rFonts w:ascii="Arial" w:hAnsi="Arial" w:cs="Arial"/>
        </w:rPr>
        <w:t xml:space="preserve">Proposal </w:t>
      </w:r>
      <w:r>
        <w:rPr>
          <w:rFonts w:ascii="Arial" w:hAnsi="Arial" w:cs="Arial"/>
        </w:rPr>
        <w:t xml:space="preserve">submitted is aligned with the eligibility criteria and the portfolio-level requirements, and that the range of prioritisation </w:t>
      </w:r>
      <w:r w:rsidR="0092235E">
        <w:rPr>
          <w:rFonts w:ascii="Arial" w:hAnsi="Arial" w:cs="Arial"/>
        </w:rPr>
        <w:t xml:space="preserve">and phasing </w:t>
      </w:r>
      <w:r>
        <w:rPr>
          <w:rFonts w:ascii="Arial" w:hAnsi="Arial" w:cs="Arial"/>
        </w:rPr>
        <w:t>guidelines are understood and considered.</w:t>
      </w:r>
      <w:r w:rsidR="00EB3BA5">
        <w:rPr>
          <w:rFonts w:ascii="Arial" w:hAnsi="Arial" w:cs="Arial"/>
        </w:rPr>
        <w:t xml:space="preserve"> This should mean that formal approval of </w:t>
      </w:r>
      <w:r w:rsidR="00DC7143">
        <w:rPr>
          <w:rFonts w:ascii="Arial" w:hAnsi="Arial" w:cs="Arial"/>
        </w:rPr>
        <w:t>an</w:t>
      </w:r>
      <w:r w:rsidR="007F10BB">
        <w:rPr>
          <w:rFonts w:ascii="Arial" w:hAnsi="Arial" w:cs="Arial"/>
        </w:rPr>
        <w:t xml:space="preserve"> Investment C</w:t>
      </w:r>
      <w:r w:rsidR="00EB3BA5">
        <w:rPr>
          <w:rFonts w:ascii="Arial" w:hAnsi="Arial" w:cs="Arial"/>
        </w:rPr>
        <w:t xml:space="preserve">ase </w:t>
      </w:r>
      <w:r w:rsidR="00DC7143">
        <w:rPr>
          <w:rFonts w:ascii="Arial" w:hAnsi="Arial" w:cs="Arial"/>
        </w:rPr>
        <w:t xml:space="preserve">by the </w:t>
      </w:r>
      <w:r w:rsidR="0092235E">
        <w:rPr>
          <w:rFonts w:ascii="Arial" w:hAnsi="Arial" w:cs="Arial"/>
        </w:rPr>
        <w:t>SRO</w:t>
      </w:r>
      <w:r w:rsidR="00DC7143">
        <w:rPr>
          <w:rFonts w:ascii="Arial" w:hAnsi="Arial" w:cs="Arial"/>
        </w:rPr>
        <w:t xml:space="preserve"> can be secured quickly, based upon a recommendation from the NHS England </w:t>
      </w:r>
      <w:r w:rsidR="00365AA3">
        <w:rPr>
          <w:rFonts w:ascii="Arial" w:hAnsi="Arial" w:cs="Arial"/>
        </w:rPr>
        <w:t>regional team</w:t>
      </w:r>
      <w:r w:rsidR="00DC7143">
        <w:rPr>
          <w:rFonts w:ascii="Arial" w:hAnsi="Arial" w:cs="Arial"/>
        </w:rPr>
        <w:t xml:space="preserve">. </w:t>
      </w:r>
    </w:p>
    <w:p w14:paraId="347B812F" w14:textId="77777777" w:rsidR="00D4613A" w:rsidRPr="00D4613A" w:rsidRDefault="00D4613A" w:rsidP="00D4613A">
      <w:pPr>
        <w:pStyle w:val="ListParagraph"/>
        <w:rPr>
          <w:rFonts w:ascii="Arial" w:hAnsi="Arial" w:cs="Arial"/>
        </w:rPr>
      </w:pPr>
    </w:p>
    <w:p w14:paraId="0117A8E4" w14:textId="08FD9112" w:rsidR="008363F8" w:rsidRDefault="00742982" w:rsidP="00B05A0F">
      <w:pPr>
        <w:pStyle w:val="ListParagraph"/>
        <w:numPr>
          <w:ilvl w:val="1"/>
          <w:numId w:val="63"/>
        </w:numPr>
        <w:autoSpaceDE w:val="0"/>
        <w:autoSpaceDN w:val="0"/>
        <w:adjustRightInd w:val="0"/>
        <w:rPr>
          <w:rFonts w:ascii="Arial" w:hAnsi="Arial" w:cs="Arial"/>
        </w:rPr>
      </w:pPr>
      <w:r>
        <w:rPr>
          <w:rFonts w:ascii="Arial" w:hAnsi="Arial" w:cs="Arial"/>
        </w:rPr>
        <w:t>NHS England</w:t>
      </w:r>
      <w:r w:rsidR="0092235E">
        <w:rPr>
          <w:rFonts w:ascii="Arial" w:hAnsi="Arial" w:cs="Arial"/>
        </w:rPr>
        <w:t xml:space="preserve"> regional teams will also help STP</w:t>
      </w:r>
      <w:r w:rsidR="00F461B7">
        <w:rPr>
          <w:rFonts w:ascii="Arial" w:hAnsi="Arial" w:cs="Arial"/>
        </w:rPr>
        <w:t>/ICS</w:t>
      </w:r>
      <w:r w:rsidR="0092235E">
        <w:rPr>
          <w:rFonts w:ascii="Arial" w:hAnsi="Arial" w:cs="Arial"/>
        </w:rPr>
        <w:t>s access a</w:t>
      </w:r>
      <w:r w:rsidR="008363F8">
        <w:rPr>
          <w:rFonts w:ascii="Arial" w:hAnsi="Arial" w:cs="Arial"/>
        </w:rPr>
        <w:t>dditional resources to su</w:t>
      </w:r>
      <w:r w:rsidR="007F10BB">
        <w:rPr>
          <w:rFonts w:ascii="Arial" w:hAnsi="Arial" w:cs="Arial"/>
        </w:rPr>
        <w:t>pport the development of I</w:t>
      </w:r>
      <w:r w:rsidR="008363F8">
        <w:rPr>
          <w:rFonts w:ascii="Arial" w:hAnsi="Arial" w:cs="Arial"/>
        </w:rPr>
        <w:t xml:space="preserve">nvestment </w:t>
      </w:r>
      <w:r w:rsidR="00A15EF2">
        <w:rPr>
          <w:rFonts w:ascii="Arial" w:hAnsi="Arial" w:cs="Arial"/>
        </w:rPr>
        <w:t>Proposals</w:t>
      </w:r>
      <w:r w:rsidR="008363F8">
        <w:rPr>
          <w:rFonts w:ascii="Arial" w:hAnsi="Arial" w:cs="Arial"/>
        </w:rPr>
        <w:t>.</w:t>
      </w:r>
      <w:r w:rsidR="00C95C7E">
        <w:rPr>
          <w:rFonts w:ascii="Arial" w:hAnsi="Arial" w:cs="Arial"/>
        </w:rPr>
        <w:t xml:space="preserve"> </w:t>
      </w:r>
      <w:r w:rsidR="008363F8">
        <w:rPr>
          <w:rFonts w:ascii="Arial" w:hAnsi="Arial" w:cs="Arial"/>
        </w:rPr>
        <w:t xml:space="preserve">These </w:t>
      </w:r>
      <w:r w:rsidR="0092235E">
        <w:rPr>
          <w:rFonts w:ascii="Arial" w:hAnsi="Arial" w:cs="Arial"/>
        </w:rPr>
        <w:t xml:space="preserve">may </w:t>
      </w:r>
      <w:r w:rsidR="008363F8">
        <w:rPr>
          <w:rFonts w:ascii="Arial" w:hAnsi="Arial" w:cs="Arial"/>
        </w:rPr>
        <w:t>include</w:t>
      </w:r>
      <w:r w:rsidR="0092235E">
        <w:rPr>
          <w:rFonts w:ascii="Arial" w:hAnsi="Arial" w:cs="Arial"/>
        </w:rPr>
        <w:t>:</w:t>
      </w:r>
      <w:r w:rsidR="008363F8">
        <w:rPr>
          <w:rFonts w:ascii="Arial" w:hAnsi="Arial" w:cs="Arial"/>
        </w:rPr>
        <w:t xml:space="preserve"> provider intelligence </w:t>
      </w:r>
      <w:r w:rsidR="0092235E">
        <w:rPr>
          <w:rFonts w:ascii="Arial" w:hAnsi="Arial" w:cs="Arial"/>
        </w:rPr>
        <w:t>(</w:t>
      </w:r>
      <w:r w:rsidR="00E024B5">
        <w:rPr>
          <w:rFonts w:ascii="Arial" w:hAnsi="Arial" w:cs="Arial"/>
        </w:rPr>
        <w:t xml:space="preserve">such as recipients of previous </w:t>
      </w:r>
      <w:r w:rsidR="00550411">
        <w:rPr>
          <w:rFonts w:ascii="Arial" w:hAnsi="Arial" w:cs="Arial"/>
        </w:rPr>
        <w:t xml:space="preserve">technology funding </w:t>
      </w:r>
      <w:r w:rsidR="0092235E">
        <w:rPr>
          <w:rFonts w:ascii="Arial" w:hAnsi="Arial" w:cs="Arial"/>
        </w:rPr>
        <w:t>in the STP</w:t>
      </w:r>
      <w:r w:rsidR="00F461B7">
        <w:rPr>
          <w:rFonts w:ascii="Arial" w:hAnsi="Arial" w:cs="Arial"/>
        </w:rPr>
        <w:t>/ICS</w:t>
      </w:r>
      <w:r w:rsidR="0092235E">
        <w:rPr>
          <w:rFonts w:ascii="Arial" w:hAnsi="Arial" w:cs="Arial"/>
        </w:rPr>
        <w:t xml:space="preserve"> </w:t>
      </w:r>
      <w:r w:rsidR="00E024B5">
        <w:rPr>
          <w:rFonts w:ascii="Arial" w:hAnsi="Arial" w:cs="Arial"/>
        </w:rPr>
        <w:t>and their performance in its investment</w:t>
      </w:r>
      <w:r w:rsidR="00DD35E0">
        <w:rPr>
          <w:rFonts w:ascii="Arial" w:hAnsi="Arial" w:cs="Arial"/>
        </w:rPr>
        <w:t>, or DMA scores</w:t>
      </w:r>
      <w:r w:rsidR="0092235E">
        <w:rPr>
          <w:rFonts w:ascii="Arial" w:hAnsi="Arial" w:cs="Arial"/>
        </w:rPr>
        <w:t>); a blueprint pipeline</w:t>
      </w:r>
      <w:r w:rsidR="00766DA1">
        <w:rPr>
          <w:rFonts w:ascii="Arial" w:hAnsi="Arial" w:cs="Arial"/>
        </w:rPr>
        <w:t xml:space="preserve">; </w:t>
      </w:r>
      <w:r w:rsidR="008363F8">
        <w:rPr>
          <w:rFonts w:ascii="Arial" w:hAnsi="Arial" w:cs="Arial"/>
        </w:rPr>
        <w:t xml:space="preserve">resources to support benefit </w:t>
      </w:r>
      <w:r w:rsidR="00DD35E0">
        <w:rPr>
          <w:rFonts w:ascii="Arial" w:hAnsi="Arial" w:cs="Arial"/>
        </w:rPr>
        <w:t>analysis</w:t>
      </w:r>
      <w:r w:rsidR="008363F8">
        <w:rPr>
          <w:rFonts w:ascii="Arial" w:hAnsi="Arial" w:cs="Arial"/>
        </w:rPr>
        <w:t xml:space="preserve">. </w:t>
      </w:r>
    </w:p>
    <w:p w14:paraId="03B6EAE1" w14:textId="77777777" w:rsidR="00A36671" w:rsidRPr="00A40D1B" w:rsidRDefault="00A36671" w:rsidP="00A40D1B">
      <w:pPr>
        <w:pStyle w:val="ListParagraph"/>
        <w:rPr>
          <w:rFonts w:ascii="Arial" w:hAnsi="Arial" w:cs="Arial"/>
        </w:rPr>
      </w:pPr>
    </w:p>
    <w:p w14:paraId="1B5D681F" w14:textId="5BFAC40A" w:rsidR="00646202" w:rsidRPr="00646202" w:rsidRDefault="00A36671" w:rsidP="00B05A0F">
      <w:pPr>
        <w:pStyle w:val="ListParagraph"/>
        <w:numPr>
          <w:ilvl w:val="1"/>
          <w:numId w:val="63"/>
        </w:numPr>
        <w:autoSpaceDE w:val="0"/>
        <w:autoSpaceDN w:val="0"/>
        <w:adjustRightInd w:val="0"/>
        <w:rPr>
          <w:rFonts w:ascii="Arial" w:hAnsi="Arial" w:cs="Arial"/>
        </w:rPr>
      </w:pPr>
      <w:r>
        <w:rPr>
          <w:rFonts w:ascii="Arial" w:hAnsi="Arial" w:cs="Arial"/>
        </w:rPr>
        <w:lastRenderedPageBreak/>
        <w:t xml:space="preserve">It is </w:t>
      </w:r>
      <w:r w:rsidR="004B6E78">
        <w:rPr>
          <w:rFonts w:ascii="Arial" w:hAnsi="Arial" w:cs="Arial"/>
        </w:rPr>
        <w:t>anticipated</w:t>
      </w:r>
      <w:r>
        <w:rPr>
          <w:rFonts w:ascii="Arial" w:hAnsi="Arial" w:cs="Arial"/>
        </w:rPr>
        <w:t xml:space="preserve"> that </w:t>
      </w:r>
      <w:r w:rsidR="00C57583">
        <w:rPr>
          <w:rFonts w:ascii="Arial" w:hAnsi="Arial" w:cs="Arial"/>
        </w:rPr>
        <w:t>updated</w:t>
      </w:r>
      <w:r>
        <w:rPr>
          <w:rFonts w:ascii="Arial" w:hAnsi="Arial" w:cs="Arial"/>
        </w:rPr>
        <w:t xml:space="preserve"> Investment </w:t>
      </w:r>
      <w:r w:rsidR="00A15EF2">
        <w:rPr>
          <w:rFonts w:ascii="Arial" w:hAnsi="Arial" w:cs="Arial"/>
        </w:rPr>
        <w:t xml:space="preserve">Proposals </w:t>
      </w:r>
      <w:r>
        <w:rPr>
          <w:rFonts w:ascii="Arial" w:hAnsi="Arial" w:cs="Arial"/>
        </w:rPr>
        <w:t xml:space="preserve">will be requested, developed, and then submitted in </w:t>
      </w:r>
      <w:r w:rsidR="00DC6869">
        <w:rPr>
          <w:rFonts w:ascii="Arial" w:hAnsi="Arial" w:cs="Arial"/>
        </w:rPr>
        <w:t xml:space="preserve">March </w:t>
      </w:r>
      <w:r>
        <w:rPr>
          <w:rFonts w:ascii="Arial" w:hAnsi="Arial" w:cs="Arial"/>
        </w:rPr>
        <w:t xml:space="preserve">2019. This would detail a portfolio of projects that would utilise the </w:t>
      </w:r>
      <w:r w:rsidR="002D7D65">
        <w:rPr>
          <w:rFonts w:ascii="Arial" w:hAnsi="Arial" w:cs="Arial"/>
        </w:rPr>
        <w:t>20</w:t>
      </w:r>
      <w:r>
        <w:rPr>
          <w:rFonts w:ascii="Arial" w:hAnsi="Arial" w:cs="Arial"/>
        </w:rPr>
        <w:t xml:space="preserve">19/20 and </w:t>
      </w:r>
      <w:r w:rsidR="002D7D65">
        <w:rPr>
          <w:rFonts w:ascii="Arial" w:hAnsi="Arial" w:cs="Arial"/>
        </w:rPr>
        <w:t>20</w:t>
      </w:r>
      <w:r>
        <w:rPr>
          <w:rFonts w:ascii="Arial" w:hAnsi="Arial" w:cs="Arial"/>
        </w:rPr>
        <w:t xml:space="preserve">20/21 allocations. </w:t>
      </w:r>
      <w:r w:rsidR="00A40D1B">
        <w:rPr>
          <w:rFonts w:ascii="Arial" w:hAnsi="Arial" w:cs="Arial"/>
        </w:rPr>
        <w:t>It will re-</w:t>
      </w:r>
      <w:r w:rsidR="008A22C4">
        <w:rPr>
          <w:rFonts w:ascii="Arial" w:hAnsi="Arial" w:cs="Arial"/>
        </w:rPr>
        <w:t>confirm</w:t>
      </w:r>
      <w:r w:rsidR="00A40D1B">
        <w:rPr>
          <w:rFonts w:ascii="Arial" w:hAnsi="Arial" w:cs="Arial"/>
        </w:rPr>
        <w:t xml:space="preserve"> </w:t>
      </w:r>
      <w:r w:rsidR="002D7D65">
        <w:rPr>
          <w:rFonts w:ascii="Arial" w:hAnsi="Arial" w:cs="Arial"/>
        </w:rPr>
        <w:t>20</w:t>
      </w:r>
      <w:r w:rsidR="00A40D1B">
        <w:rPr>
          <w:rFonts w:ascii="Arial" w:hAnsi="Arial" w:cs="Arial"/>
        </w:rPr>
        <w:t>19/20 priorities, but also allow them to be updated</w:t>
      </w:r>
      <w:r w:rsidR="00885806">
        <w:rPr>
          <w:rFonts w:ascii="Arial" w:hAnsi="Arial" w:cs="Arial"/>
        </w:rPr>
        <w:t xml:space="preserve"> from the original Investment </w:t>
      </w:r>
      <w:r w:rsidR="00A15EF2">
        <w:rPr>
          <w:rFonts w:ascii="Arial" w:hAnsi="Arial" w:cs="Arial"/>
        </w:rPr>
        <w:t>Proposal</w:t>
      </w:r>
      <w:r w:rsidR="00A40D1B">
        <w:rPr>
          <w:rFonts w:ascii="Arial" w:hAnsi="Arial" w:cs="Arial"/>
        </w:rPr>
        <w:t xml:space="preserve">. </w:t>
      </w:r>
      <w:r>
        <w:rPr>
          <w:rFonts w:ascii="Arial" w:hAnsi="Arial" w:cs="Arial"/>
        </w:rPr>
        <w:t xml:space="preserve">Further guidance will be provided in due course. </w:t>
      </w:r>
    </w:p>
    <w:p w14:paraId="69703CF1" w14:textId="77777777" w:rsidR="008E585B" w:rsidRDefault="008E585B">
      <w:pPr>
        <w:rPr>
          <w:rFonts w:ascii="Arial" w:eastAsia="Times New Roman" w:hAnsi="Arial" w:cs="Arial"/>
          <w:b/>
          <w:bCs/>
          <w:color w:val="0072C6"/>
          <w:kern w:val="32"/>
          <w:sz w:val="32"/>
          <w:szCs w:val="32"/>
        </w:rPr>
      </w:pPr>
      <w:r>
        <w:rPr>
          <w:rFonts w:ascii="Arial" w:eastAsia="Times New Roman" w:hAnsi="Arial" w:cs="Arial"/>
          <w:b/>
          <w:bCs/>
          <w:color w:val="0072C6"/>
          <w:kern w:val="32"/>
          <w:sz w:val="32"/>
          <w:szCs w:val="32"/>
        </w:rPr>
        <w:br w:type="page"/>
      </w:r>
    </w:p>
    <w:p w14:paraId="11DED5A3" w14:textId="7E03F14C" w:rsidR="00525F82" w:rsidRPr="00932C88" w:rsidRDefault="00525F82" w:rsidP="00B05A0F">
      <w:pPr>
        <w:numPr>
          <w:ilvl w:val="0"/>
          <w:numId w:val="63"/>
        </w:numPr>
        <w:spacing w:after="0" w:line="240" w:lineRule="auto"/>
        <w:outlineLvl w:val="0"/>
        <w:rPr>
          <w:rFonts w:ascii="Arial" w:eastAsia="Times New Roman" w:hAnsi="Arial" w:cs="Arial"/>
          <w:b/>
          <w:bCs/>
          <w:color w:val="0072C6"/>
          <w:kern w:val="32"/>
          <w:sz w:val="28"/>
          <w:szCs w:val="32"/>
        </w:rPr>
      </w:pPr>
      <w:bookmarkStart w:id="13" w:name="_Toc521080044"/>
      <w:r w:rsidRPr="00932C88">
        <w:rPr>
          <w:rFonts w:ascii="Arial" w:eastAsia="Times New Roman" w:hAnsi="Arial" w:cs="Arial"/>
          <w:b/>
          <w:bCs/>
          <w:color w:val="0072C6"/>
          <w:kern w:val="32"/>
          <w:sz w:val="28"/>
          <w:szCs w:val="32"/>
        </w:rPr>
        <w:lastRenderedPageBreak/>
        <w:t>The process beyond</w:t>
      </w:r>
      <w:r w:rsidR="00EB0A65" w:rsidRPr="00932C88">
        <w:rPr>
          <w:rFonts w:ascii="Arial" w:eastAsia="Times New Roman" w:hAnsi="Arial" w:cs="Arial"/>
          <w:b/>
          <w:bCs/>
          <w:color w:val="0072C6"/>
          <w:kern w:val="32"/>
          <w:sz w:val="28"/>
          <w:szCs w:val="32"/>
        </w:rPr>
        <w:t xml:space="preserve"> the </w:t>
      </w:r>
      <w:r w:rsidR="007F10BB" w:rsidRPr="00932C88">
        <w:rPr>
          <w:rFonts w:ascii="Arial" w:eastAsia="Times New Roman" w:hAnsi="Arial" w:cs="Arial"/>
          <w:b/>
          <w:bCs/>
          <w:color w:val="0072C6"/>
          <w:kern w:val="32"/>
          <w:sz w:val="28"/>
          <w:szCs w:val="32"/>
        </w:rPr>
        <w:t>I</w:t>
      </w:r>
      <w:r w:rsidR="00EB0A65" w:rsidRPr="00932C88">
        <w:rPr>
          <w:rFonts w:ascii="Arial" w:eastAsia="Times New Roman" w:hAnsi="Arial" w:cs="Arial"/>
          <w:b/>
          <w:bCs/>
          <w:color w:val="0072C6"/>
          <w:kern w:val="32"/>
          <w:sz w:val="28"/>
          <w:szCs w:val="32"/>
        </w:rPr>
        <w:t xml:space="preserve">nvestment </w:t>
      </w:r>
      <w:r w:rsidR="00A15EF2" w:rsidRPr="00932C88">
        <w:rPr>
          <w:rFonts w:ascii="Arial" w:eastAsia="Times New Roman" w:hAnsi="Arial" w:cs="Arial"/>
          <w:b/>
          <w:bCs/>
          <w:color w:val="0072C6"/>
          <w:kern w:val="32"/>
          <w:sz w:val="28"/>
          <w:szCs w:val="32"/>
        </w:rPr>
        <w:t>Proposal</w:t>
      </w:r>
      <w:bookmarkEnd w:id="13"/>
    </w:p>
    <w:p w14:paraId="2CB6958C" w14:textId="77777777" w:rsidR="00525F82" w:rsidRDefault="00525F82" w:rsidP="00525F82">
      <w:pPr>
        <w:pStyle w:val="ListParagraph"/>
        <w:autoSpaceDE w:val="0"/>
        <w:autoSpaceDN w:val="0"/>
        <w:adjustRightInd w:val="0"/>
        <w:ind w:left="576"/>
        <w:rPr>
          <w:rFonts w:ascii="Arial" w:hAnsi="Arial" w:cs="Arial"/>
        </w:rPr>
      </w:pPr>
    </w:p>
    <w:p w14:paraId="7393F2B3" w14:textId="784CFE12" w:rsidR="00D259ED" w:rsidRDefault="00D259ED" w:rsidP="00B05A0F">
      <w:pPr>
        <w:pStyle w:val="ListParagraph"/>
        <w:numPr>
          <w:ilvl w:val="1"/>
          <w:numId w:val="63"/>
        </w:numPr>
        <w:autoSpaceDE w:val="0"/>
        <w:autoSpaceDN w:val="0"/>
        <w:adjustRightInd w:val="0"/>
        <w:rPr>
          <w:rFonts w:ascii="Arial" w:hAnsi="Arial" w:cs="Arial"/>
        </w:rPr>
      </w:pPr>
      <w:r>
        <w:rPr>
          <w:rFonts w:ascii="Arial" w:hAnsi="Arial" w:cs="Arial"/>
        </w:rPr>
        <w:t xml:space="preserve">Providers with projects that make it into the Investment </w:t>
      </w:r>
      <w:r w:rsidR="00A15EF2">
        <w:rPr>
          <w:rFonts w:ascii="Arial" w:hAnsi="Arial" w:cs="Arial"/>
        </w:rPr>
        <w:t xml:space="preserve">Proposal </w:t>
      </w:r>
      <w:r>
        <w:rPr>
          <w:rFonts w:ascii="Arial" w:hAnsi="Arial" w:cs="Arial"/>
        </w:rPr>
        <w:t xml:space="preserve">should </w:t>
      </w:r>
      <w:r w:rsidR="002B4952">
        <w:rPr>
          <w:rFonts w:ascii="Arial" w:hAnsi="Arial" w:cs="Arial"/>
        </w:rPr>
        <w:t xml:space="preserve">note that allocated </w:t>
      </w:r>
      <w:r>
        <w:rPr>
          <w:rFonts w:ascii="Arial" w:hAnsi="Arial" w:cs="Arial"/>
        </w:rPr>
        <w:t xml:space="preserve">funding cannot be rolled-over into a later year, so an early start on procurement </w:t>
      </w:r>
      <w:r w:rsidR="002B4952">
        <w:rPr>
          <w:rFonts w:ascii="Arial" w:hAnsi="Arial" w:cs="Arial"/>
        </w:rPr>
        <w:t>processes may be appropriate</w:t>
      </w:r>
      <w:r>
        <w:rPr>
          <w:rFonts w:ascii="Arial" w:hAnsi="Arial" w:cs="Arial"/>
        </w:rPr>
        <w:t xml:space="preserve">. </w:t>
      </w:r>
    </w:p>
    <w:p w14:paraId="0DD2AAE0" w14:textId="77777777" w:rsidR="00D259ED" w:rsidRPr="00CE16D5" w:rsidRDefault="00D259ED" w:rsidP="00D259ED">
      <w:pPr>
        <w:pStyle w:val="ListParagraph"/>
        <w:rPr>
          <w:rFonts w:ascii="Arial" w:hAnsi="Arial" w:cs="Arial"/>
        </w:rPr>
      </w:pPr>
    </w:p>
    <w:p w14:paraId="65F211F0" w14:textId="78262A5E" w:rsidR="00D259ED" w:rsidRDefault="00D43130" w:rsidP="00B05A0F">
      <w:pPr>
        <w:pStyle w:val="ListParagraph"/>
        <w:numPr>
          <w:ilvl w:val="1"/>
          <w:numId w:val="63"/>
        </w:numPr>
        <w:autoSpaceDE w:val="0"/>
        <w:autoSpaceDN w:val="0"/>
        <w:adjustRightInd w:val="0"/>
        <w:rPr>
          <w:rFonts w:ascii="Arial" w:hAnsi="Arial" w:cs="Arial"/>
        </w:rPr>
      </w:pPr>
      <w:r w:rsidRPr="00D43130">
        <w:rPr>
          <w:rFonts w:ascii="Arial" w:hAnsi="Arial" w:cs="Arial"/>
        </w:rPr>
        <w:t xml:space="preserve">The Investment </w:t>
      </w:r>
      <w:r>
        <w:rPr>
          <w:rFonts w:ascii="Arial" w:hAnsi="Arial" w:cs="Arial"/>
        </w:rPr>
        <w:t>Proposal</w:t>
      </w:r>
      <w:r w:rsidRPr="00D43130">
        <w:rPr>
          <w:rFonts w:ascii="Arial" w:hAnsi="Arial" w:cs="Arial"/>
        </w:rPr>
        <w:t xml:space="preserve"> details a portfolio of projects. The subsequent steps detailed below are focused on a provider / project. Different projects in the portfolio can progress through these steps at different times, as long as the current year allocations are spent by the end of the financial year.</w:t>
      </w:r>
    </w:p>
    <w:p w14:paraId="12A717BB" w14:textId="77777777" w:rsidR="00D259ED" w:rsidRPr="004250BF" w:rsidRDefault="00D259ED" w:rsidP="00D259ED">
      <w:pPr>
        <w:pStyle w:val="ListParagraph"/>
        <w:rPr>
          <w:rFonts w:ascii="Arial" w:hAnsi="Arial" w:cs="Arial"/>
        </w:rPr>
      </w:pPr>
    </w:p>
    <w:p w14:paraId="2F4617DB" w14:textId="0A514119" w:rsidR="00E5332C" w:rsidRDefault="000F6790" w:rsidP="00B05A0F">
      <w:pPr>
        <w:pStyle w:val="ListParagraph"/>
        <w:numPr>
          <w:ilvl w:val="1"/>
          <w:numId w:val="63"/>
        </w:numPr>
        <w:autoSpaceDE w:val="0"/>
        <w:autoSpaceDN w:val="0"/>
        <w:adjustRightInd w:val="0"/>
        <w:rPr>
          <w:rFonts w:ascii="Arial" w:hAnsi="Arial" w:cs="Arial"/>
        </w:rPr>
      </w:pPr>
      <w:r w:rsidRPr="000F6790">
        <w:rPr>
          <w:rFonts w:ascii="Arial" w:hAnsi="Arial" w:cs="Arial"/>
        </w:rPr>
        <w:t xml:space="preserve">Before funding </w:t>
      </w:r>
      <w:r w:rsidR="00EB0A65">
        <w:rPr>
          <w:rFonts w:ascii="Arial" w:hAnsi="Arial" w:cs="Arial"/>
        </w:rPr>
        <w:t>draw-down can be requested by</w:t>
      </w:r>
      <w:r w:rsidR="00E5332C">
        <w:rPr>
          <w:rFonts w:ascii="Arial" w:hAnsi="Arial" w:cs="Arial"/>
        </w:rPr>
        <w:t xml:space="preserve"> a provider</w:t>
      </w:r>
      <w:r w:rsidR="007E154A">
        <w:rPr>
          <w:rFonts w:ascii="Arial" w:hAnsi="Arial" w:cs="Arial"/>
        </w:rPr>
        <w:t xml:space="preserve"> for </w:t>
      </w:r>
      <w:r w:rsidR="00786E9F">
        <w:rPr>
          <w:rFonts w:ascii="Arial" w:hAnsi="Arial" w:cs="Arial"/>
        </w:rPr>
        <w:t>one or more sp</w:t>
      </w:r>
      <w:r w:rsidR="007E154A">
        <w:rPr>
          <w:rFonts w:ascii="Arial" w:hAnsi="Arial" w:cs="Arial"/>
        </w:rPr>
        <w:t>ecific project</w:t>
      </w:r>
      <w:r w:rsidR="00786E9F">
        <w:rPr>
          <w:rFonts w:ascii="Arial" w:hAnsi="Arial" w:cs="Arial"/>
        </w:rPr>
        <w:t>s</w:t>
      </w:r>
      <w:r w:rsidR="007E154A">
        <w:rPr>
          <w:rFonts w:ascii="Arial" w:hAnsi="Arial" w:cs="Arial"/>
        </w:rPr>
        <w:t xml:space="preserve"> in the portfolio</w:t>
      </w:r>
      <w:r w:rsidRPr="000F6790">
        <w:rPr>
          <w:rFonts w:ascii="Arial" w:hAnsi="Arial" w:cs="Arial"/>
        </w:rPr>
        <w:t xml:space="preserve">, a </w:t>
      </w:r>
      <w:r w:rsidR="008C0584">
        <w:rPr>
          <w:rFonts w:ascii="Arial" w:hAnsi="Arial" w:cs="Arial"/>
        </w:rPr>
        <w:t>F</w:t>
      </w:r>
      <w:r w:rsidR="000A4E13">
        <w:rPr>
          <w:rFonts w:ascii="Arial" w:hAnsi="Arial" w:cs="Arial"/>
        </w:rPr>
        <w:t xml:space="preserve">unding </w:t>
      </w:r>
      <w:r w:rsidR="008C0584">
        <w:rPr>
          <w:rFonts w:ascii="Arial" w:hAnsi="Arial" w:cs="Arial"/>
        </w:rPr>
        <w:t>A</w:t>
      </w:r>
      <w:r w:rsidRPr="000F6790">
        <w:rPr>
          <w:rFonts w:ascii="Arial" w:hAnsi="Arial" w:cs="Arial"/>
        </w:rPr>
        <w:t xml:space="preserve">greement will need to be developed and agreed between </w:t>
      </w:r>
      <w:r w:rsidR="00E5332C">
        <w:rPr>
          <w:rFonts w:ascii="Arial" w:hAnsi="Arial" w:cs="Arial"/>
        </w:rPr>
        <w:t xml:space="preserve">the </w:t>
      </w:r>
      <w:r w:rsidR="00786E9F">
        <w:rPr>
          <w:rFonts w:ascii="Arial" w:hAnsi="Arial" w:cs="Arial"/>
        </w:rPr>
        <w:t>P</w:t>
      </w:r>
      <w:r w:rsidRPr="000F6790">
        <w:rPr>
          <w:rFonts w:ascii="Arial" w:hAnsi="Arial" w:cs="Arial"/>
        </w:rPr>
        <w:t xml:space="preserve">rovider and NHS England. </w:t>
      </w:r>
      <w:r w:rsidR="00E5332C">
        <w:rPr>
          <w:rFonts w:ascii="Arial" w:hAnsi="Arial" w:cs="Arial"/>
        </w:rPr>
        <w:t xml:space="preserve">This </w:t>
      </w:r>
      <w:r w:rsidR="000A4E13">
        <w:rPr>
          <w:rFonts w:ascii="Arial" w:hAnsi="Arial" w:cs="Arial"/>
        </w:rPr>
        <w:t xml:space="preserve">will identify the roles, responsibilities, contact details and commitments of all parties, </w:t>
      </w:r>
      <w:r w:rsidR="00786E9F">
        <w:rPr>
          <w:rFonts w:ascii="Arial" w:hAnsi="Arial" w:cs="Arial"/>
        </w:rPr>
        <w:t xml:space="preserve">the local governance arrangements, </w:t>
      </w:r>
      <w:r w:rsidR="000A4E13">
        <w:rPr>
          <w:rFonts w:ascii="Arial" w:hAnsi="Arial" w:cs="Arial"/>
        </w:rPr>
        <w:t>detail key milestones</w:t>
      </w:r>
      <w:r w:rsidR="00451C6A">
        <w:rPr>
          <w:rFonts w:ascii="Arial" w:hAnsi="Arial" w:cs="Arial"/>
        </w:rPr>
        <w:t xml:space="preserve"> and funding drops</w:t>
      </w:r>
      <w:r w:rsidR="000A4E13">
        <w:rPr>
          <w:rFonts w:ascii="Arial" w:hAnsi="Arial" w:cs="Arial"/>
        </w:rPr>
        <w:t>, and for projects considered high-risk, identify any draw-down dependencies</w:t>
      </w:r>
      <w:r w:rsidR="00EB0A65">
        <w:rPr>
          <w:rFonts w:ascii="Arial" w:hAnsi="Arial" w:cs="Arial"/>
        </w:rPr>
        <w:t xml:space="preserve">. </w:t>
      </w:r>
    </w:p>
    <w:p w14:paraId="2F0E0BDE" w14:textId="77777777" w:rsidR="00E5332C" w:rsidRPr="00E5332C" w:rsidRDefault="00E5332C" w:rsidP="00E5332C">
      <w:pPr>
        <w:pStyle w:val="ListParagraph"/>
        <w:rPr>
          <w:rFonts w:ascii="Arial" w:hAnsi="Arial" w:cs="Arial"/>
        </w:rPr>
      </w:pPr>
    </w:p>
    <w:p w14:paraId="48EA1F49" w14:textId="0E3BC460" w:rsidR="000F6790" w:rsidRPr="00786E9F" w:rsidRDefault="000F6790" w:rsidP="00B05A0F">
      <w:pPr>
        <w:pStyle w:val="ListParagraph"/>
        <w:numPr>
          <w:ilvl w:val="1"/>
          <w:numId w:val="63"/>
        </w:numPr>
        <w:autoSpaceDE w:val="0"/>
        <w:autoSpaceDN w:val="0"/>
        <w:adjustRightInd w:val="0"/>
        <w:rPr>
          <w:rFonts w:ascii="Arial" w:hAnsi="Arial" w:cs="Arial"/>
        </w:rPr>
      </w:pPr>
      <w:r w:rsidRPr="00786E9F">
        <w:rPr>
          <w:rFonts w:ascii="Arial" w:hAnsi="Arial" w:cs="Arial"/>
        </w:rPr>
        <w:t xml:space="preserve">Additionally, </w:t>
      </w:r>
      <w:r w:rsidR="00E5332C" w:rsidRPr="00786E9F">
        <w:rPr>
          <w:rFonts w:ascii="Arial" w:hAnsi="Arial" w:cs="Arial"/>
        </w:rPr>
        <w:t>and</w:t>
      </w:r>
      <w:r w:rsidR="00EB0A65" w:rsidRPr="00786E9F">
        <w:rPr>
          <w:rFonts w:ascii="Arial" w:hAnsi="Arial" w:cs="Arial"/>
        </w:rPr>
        <w:t xml:space="preserve"> also before funding draw-down is requested</w:t>
      </w:r>
      <w:r w:rsidR="007E154A" w:rsidRPr="00786E9F">
        <w:rPr>
          <w:rFonts w:ascii="Arial" w:hAnsi="Arial" w:cs="Arial"/>
        </w:rPr>
        <w:t xml:space="preserve"> for a project in the portfolio</w:t>
      </w:r>
      <w:r w:rsidR="00E5332C" w:rsidRPr="00786E9F">
        <w:rPr>
          <w:rFonts w:ascii="Arial" w:hAnsi="Arial" w:cs="Arial"/>
        </w:rPr>
        <w:t xml:space="preserve">, </w:t>
      </w:r>
      <w:r w:rsidRPr="00786E9F">
        <w:rPr>
          <w:rFonts w:ascii="Arial" w:hAnsi="Arial" w:cs="Arial"/>
        </w:rPr>
        <w:t xml:space="preserve">a </w:t>
      </w:r>
      <w:r w:rsidR="007E154A" w:rsidRPr="00786E9F">
        <w:rPr>
          <w:rFonts w:ascii="Arial" w:hAnsi="Arial" w:cs="Arial"/>
        </w:rPr>
        <w:t xml:space="preserve">corresponding </w:t>
      </w:r>
      <w:r w:rsidRPr="00786E9F">
        <w:rPr>
          <w:rFonts w:ascii="Arial" w:hAnsi="Arial" w:cs="Arial"/>
        </w:rPr>
        <w:t xml:space="preserve">detailed business case will need to be approved </w:t>
      </w:r>
      <w:r w:rsidR="00E5332C" w:rsidRPr="00786E9F">
        <w:rPr>
          <w:rFonts w:ascii="Arial" w:hAnsi="Arial" w:cs="Arial"/>
        </w:rPr>
        <w:t>by the lead provider</w:t>
      </w:r>
      <w:r w:rsidR="00DB6D8C" w:rsidRPr="00786E9F">
        <w:rPr>
          <w:rFonts w:ascii="Arial" w:hAnsi="Arial" w:cs="Arial"/>
        </w:rPr>
        <w:t xml:space="preserve"> for the project</w:t>
      </w:r>
      <w:r w:rsidR="00E5332C" w:rsidRPr="00786E9F">
        <w:rPr>
          <w:rFonts w:ascii="Arial" w:hAnsi="Arial" w:cs="Arial"/>
        </w:rPr>
        <w:t>, following its Standing Financial Instructions</w:t>
      </w:r>
      <w:r w:rsidRPr="00786E9F">
        <w:rPr>
          <w:rFonts w:ascii="Arial" w:hAnsi="Arial" w:cs="Arial"/>
        </w:rPr>
        <w:t>.</w:t>
      </w:r>
      <w:r w:rsidR="000A2720" w:rsidRPr="00786E9F">
        <w:rPr>
          <w:rFonts w:ascii="Arial" w:hAnsi="Arial" w:cs="Arial"/>
        </w:rPr>
        <w:t xml:space="preserve"> It is expected that this will incorporate appropriate equality and health inequalities analysis</w:t>
      </w:r>
      <w:r w:rsidR="008C36A0">
        <w:rPr>
          <w:rFonts w:ascii="Arial" w:hAnsi="Arial" w:cs="Arial"/>
        </w:rPr>
        <w:t>, and be consistent with the Green Book guidance (see the Business Justification template, Template 5 of ‘</w:t>
      </w:r>
      <w:r w:rsidR="008C36A0" w:rsidRPr="008C36A0">
        <w:rPr>
          <w:rFonts w:ascii="Arial" w:hAnsi="Arial" w:cs="Arial"/>
        </w:rPr>
        <w:t>Public Sector Business Cases using</w:t>
      </w:r>
      <w:r w:rsidR="008C36A0">
        <w:rPr>
          <w:rFonts w:ascii="Arial" w:hAnsi="Arial" w:cs="Arial"/>
        </w:rPr>
        <w:t xml:space="preserve"> the Five Case Model: templates</w:t>
      </w:r>
      <w:r w:rsidR="00742982">
        <w:rPr>
          <w:rFonts w:ascii="Arial" w:hAnsi="Arial" w:cs="Arial"/>
        </w:rPr>
        <w:t>’</w:t>
      </w:r>
      <w:r w:rsidR="008C36A0">
        <w:rPr>
          <w:rFonts w:ascii="Arial" w:hAnsi="Arial" w:cs="Arial"/>
        </w:rPr>
        <w:t>, available to be downloaded at</w:t>
      </w:r>
      <w:r w:rsidR="008C36A0" w:rsidRPr="008C36A0">
        <w:t xml:space="preserve"> </w:t>
      </w:r>
      <w:hyperlink r:id="rId11" w:history="1">
        <w:r w:rsidR="008C36A0" w:rsidRPr="004B6774">
          <w:rPr>
            <w:rStyle w:val="Hyperlink"/>
            <w:rFonts w:ascii="Arial" w:hAnsi="Arial" w:cs="Arial"/>
          </w:rPr>
          <w:t>https://www.gov.uk/government/publications/the-green-book-appraisal-and-evaluation-in-central-governent</w:t>
        </w:r>
      </w:hyperlink>
      <w:r w:rsidR="008C36A0">
        <w:rPr>
          <w:rFonts w:ascii="Arial" w:hAnsi="Arial" w:cs="Arial"/>
        </w:rPr>
        <w:t xml:space="preserve">). </w:t>
      </w:r>
      <w:r w:rsidR="00EB0A65" w:rsidRPr="00786E9F">
        <w:rPr>
          <w:rFonts w:ascii="Arial" w:hAnsi="Arial" w:cs="Arial"/>
        </w:rPr>
        <w:t>It is also envisaged that STPs with maturing governance arrangements around the digital agenda will wish to endorse detailed business cases.</w:t>
      </w:r>
    </w:p>
    <w:p w14:paraId="58BF12FA" w14:textId="77777777" w:rsidR="00713E16" w:rsidRPr="00C71A3D" w:rsidRDefault="00713E16" w:rsidP="00C71A3D">
      <w:pPr>
        <w:pStyle w:val="ListParagraph"/>
        <w:rPr>
          <w:rFonts w:ascii="Arial" w:hAnsi="Arial" w:cs="Arial"/>
        </w:rPr>
      </w:pPr>
    </w:p>
    <w:p w14:paraId="3547EA65" w14:textId="77777777" w:rsidR="001F6576" w:rsidRDefault="001F6576" w:rsidP="00B05A0F">
      <w:pPr>
        <w:pStyle w:val="ListParagraph"/>
        <w:numPr>
          <w:ilvl w:val="1"/>
          <w:numId w:val="63"/>
        </w:numPr>
        <w:autoSpaceDE w:val="0"/>
        <w:autoSpaceDN w:val="0"/>
        <w:adjustRightInd w:val="0"/>
        <w:rPr>
          <w:rFonts w:ascii="Arial" w:hAnsi="Arial" w:cs="Arial"/>
        </w:rPr>
      </w:pPr>
      <w:r>
        <w:rPr>
          <w:rFonts w:ascii="Arial" w:hAnsi="Arial" w:cs="Arial"/>
        </w:rPr>
        <w:t xml:space="preserve">The provider will also be expected to draw on the analysis of projected costs and benefits </w:t>
      </w:r>
      <w:r w:rsidR="00766DA1">
        <w:rPr>
          <w:rFonts w:ascii="Arial" w:hAnsi="Arial" w:cs="Arial"/>
        </w:rPr>
        <w:t>within</w:t>
      </w:r>
      <w:r>
        <w:rPr>
          <w:rFonts w:ascii="Arial" w:hAnsi="Arial" w:cs="Arial"/>
        </w:rPr>
        <w:t xml:space="preserve"> the detailed business case to populate a standard value analysis template. Data from these can then be aggregated at STP, regional and national levels.</w:t>
      </w:r>
      <w:r w:rsidR="00595176">
        <w:rPr>
          <w:rFonts w:ascii="Arial" w:hAnsi="Arial" w:cs="Arial"/>
        </w:rPr>
        <w:t xml:space="preserve"> Any significant discrepancies with the financial return on investment scoring previously undertaken within the prior</w:t>
      </w:r>
      <w:r w:rsidR="008771B5">
        <w:rPr>
          <w:rFonts w:ascii="Arial" w:hAnsi="Arial" w:cs="Arial"/>
        </w:rPr>
        <w:t>itisation process (see section 4</w:t>
      </w:r>
      <w:r w:rsidR="00595176">
        <w:rPr>
          <w:rFonts w:ascii="Arial" w:hAnsi="Arial" w:cs="Arial"/>
        </w:rPr>
        <w:t>.6) will be challenged.</w:t>
      </w:r>
    </w:p>
    <w:p w14:paraId="22F7FBE9" w14:textId="77777777" w:rsidR="001F6576" w:rsidRPr="001F6576" w:rsidRDefault="001F6576" w:rsidP="001F6576">
      <w:pPr>
        <w:pStyle w:val="ListParagraph"/>
        <w:rPr>
          <w:rFonts w:ascii="Arial" w:hAnsi="Arial" w:cs="Arial"/>
        </w:rPr>
      </w:pPr>
    </w:p>
    <w:p w14:paraId="1E87DD9B" w14:textId="77777777" w:rsidR="00786E9F" w:rsidRDefault="00B363A6" w:rsidP="00B05A0F">
      <w:pPr>
        <w:pStyle w:val="ListParagraph"/>
        <w:numPr>
          <w:ilvl w:val="1"/>
          <w:numId w:val="63"/>
        </w:numPr>
        <w:autoSpaceDE w:val="0"/>
        <w:autoSpaceDN w:val="0"/>
        <w:adjustRightInd w:val="0"/>
        <w:rPr>
          <w:rFonts w:ascii="Arial" w:hAnsi="Arial" w:cs="Arial"/>
        </w:rPr>
      </w:pPr>
      <w:r>
        <w:rPr>
          <w:rFonts w:ascii="Arial" w:hAnsi="Arial" w:cs="Arial"/>
        </w:rPr>
        <w:t xml:space="preserve">The final requirement for funding draw-down is a PDC Award Agreement, signed by the Provider Director of Finance and DHSC’s Finance Director. This allows DHSC to set the appropriate </w:t>
      </w:r>
      <w:r w:rsidR="00451C6A">
        <w:rPr>
          <w:rFonts w:ascii="Arial" w:hAnsi="Arial" w:cs="Arial"/>
        </w:rPr>
        <w:t xml:space="preserve">funding </w:t>
      </w:r>
      <w:r>
        <w:rPr>
          <w:rFonts w:ascii="Arial" w:hAnsi="Arial" w:cs="Arial"/>
        </w:rPr>
        <w:t>limits.</w:t>
      </w:r>
    </w:p>
    <w:p w14:paraId="5D4D537B" w14:textId="77777777" w:rsidR="00786E9F" w:rsidRPr="00786E9F" w:rsidRDefault="00786E9F" w:rsidP="00786E9F">
      <w:pPr>
        <w:pStyle w:val="ListParagraph"/>
        <w:rPr>
          <w:rFonts w:ascii="Arial" w:hAnsi="Arial" w:cs="Arial"/>
        </w:rPr>
      </w:pPr>
    </w:p>
    <w:p w14:paraId="7A887D28" w14:textId="40E607F4" w:rsidR="00B363A6" w:rsidRDefault="00B363A6" w:rsidP="00B05A0F">
      <w:pPr>
        <w:pStyle w:val="ListParagraph"/>
        <w:numPr>
          <w:ilvl w:val="1"/>
          <w:numId w:val="63"/>
        </w:numPr>
        <w:autoSpaceDE w:val="0"/>
        <w:autoSpaceDN w:val="0"/>
        <w:adjustRightInd w:val="0"/>
        <w:rPr>
          <w:rFonts w:ascii="Arial" w:hAnsi="Arial" w:cs="Arial"/>
        </w:rPr>
      </w:pPr>
      <w:r>
        <w:rPr>
          <w:rFonts w:ascii="Arial" w:hAnsi="Arial" w:cs="Arial"/>
        </w:rPr>
        <w:t xml:space="preserve">Once all these requirements are met, the Provider will be able to initiate </w:t>
      </w:r>
      <w:r w:rsidR="00EA7E51">
        <w:rPr>
          <w:rFonts w:ascii="Arial" w:hAnsi="Arial" w:cs="Arial"/>
        </w:rPr>
        <w:t>draw-down following the standard procedure for accessing PDC. Funding should not be drawn down in advance of need.</w:t>
      </w:r>
      <w:r w:rsidR="00EA28C8">
        <w:rPr>
          <w:rFonts w:ascii="Arial" w:hAnsi="Arial" w:cs="Arial"/>
        </w:rPr>
        <w:t xml:space="preserve"> We will review these requirements in the future in line with ‘earned autonomy’ principles.</w:t>
      </w:r>
    </w:p>
    <w:p w14:paraId="613661D0" w14:textId="77777777" w:rsidR="00B363A6" w:rsidRPr="00B363A6" w:rsidRDefault="00B363A6" w:rsidP="00B363A6">
      <w:pPr>
        <w:pStyle w:val="ListParagraph"/>
        <w:rPr>
          <w:rFonts w:ascii="Arial" w:hAnsi="Arial" w:cs="Arial"/>
        </w:rPr>
      </w:pPr>
    </w:p>
    <w:p w14:paraId="7E53532F" w14:textId="77CDA73D" w:rsidR="00EA7E51" w:rsidRDefault="00EA7E51" w:rsidP="00B05A0F">
      <w:pPr>
        <w:pStyle w:val="ListParagraph"/>
        <w:numPr>
          <w:ilvl w:val="1"/>
          <w:numId w:val="63"/>
        </w:numPr>
        <w:autoSpaceDE w:val="0"/>
        <w:autoSpaceDN w:val="0"/>
        <w:adjustRightInd w:val="0"/>
        <w:rPr>
          <w:rFonts w:ascii="Arial" w:hAnsi="Arial" w:cs="Arial"/>
        </w:rPr>
      </w:pPr>
      <w:r>
        <w:rPr>
          <w:rFonts w:ascii="Arial" w:hAnsi="Arial" w:cs="Arial"/>
        </w:rPr>
        <w:t>Further guidance and templates for the requirements and processes above will be provided in due course</w:t>
      </w:r>
      <w:r w:rsidR="002B4952">
        <w:rPr>
          <w:rFonts w:ascii="Arial" w:hAnsi="Arial" w:cs="Arial"/>
        </w:rPr>
        <w:t xml:space="preserve">, and in advance of the Investment </w:t>
      </w:r>
      <w:r w:rsidR="00A15EF2">
        <w:rPr>
          <w:rFonts w:ascii="Arial" w:hAnsi="Arial" w:cs="Arial"/>
        </w:rPr>
        <w:t xml:space="preserve">Proposal </w:t>
      </w:r>
      <w:r w:rsidR="002B4952">
        <w:rPr>
          <w:rFonts w:ascii="Arial" w:hAnsi="Arial" w:cs="Arial"/>
        </w:rPr>
        <w:t xml:space="preserve">submission </w:t>
      </w:r>
      <w:r w:rsidR="006C1F1E">
        <w:rPr>
          <w:rFonts w:ascii="Arial" w:hAnsi="Arial" w:cs="Arial"/>
        </w:rPr>
        <w:t>window closing</w:t>
      </w:r>
      <w:r>
        <w:rPr>
          <w:rFonts w:ascii="Arial" w:hAnsi="Arial" w:cs="Arial"/>
        </w:rPr>
        <w:t>.</w:t>
      </w:r>
    </w:p>
    <w:p w14:paraId="5DAB1E1F" w14:textId="77777777" w:rsidR="00EA7E51" w:rsidRDefault="00EA7E51" w:rsidP="00EA7E51">
      <w:pPr>
        <w:pStyle w:val="ListParagraph"/>
        <w:autoSpaceDE w:val="0"/>
        <w:autoSpaceDN w:val="0"/>
        <w:adjustRightInd w:val="0"/>
        <w:ind w:left="576"/>
        <w:rPr>
          <w:rFonts w:ascii="Arial" w:hAnsi="Arial" w:cs="Arial"/>
        </w:rPr>
      </w:pPr>
    </w:p>
    <w:p w14:paraId="08AF6268" w14:textId="32532AB2" w:rsidR="000A4E13" w:rsidRDefault="000A4E13" w:rsidP="00B05A0F">
      <w:pPr>
        <w:pStyle w:val="ListParagraph"/>
        <w:numPr>
          <w:ilvl w:val="1"/>
          <w:numId w:val="63"/>
        </w:numPr>
        <w:autoSpaceDE w:val="0"/>
        <w:autoSpaceDN w:val="0"/>
        <w:adjustRightInd w:val="0"/>
        <w:rPr>
          <w:rFonts w:ascii="Arial" w:hAnsi="Arial" w:cs="Arial"/>
        </w:rPr>
      </w:pPr>
      <w:r>
        <w:rPr>
          <w:rFonts w:ascii="Arial" w:hAnsi="Arial" w:cs="Arial"/>
        </w:rPr>
        <w:t xml:space="preserve">Based on information in the </w:t>
      </w:r>
      <w:r w:rsidR="007F10BB">
        <w:rPr>
          <w:rFonts w:ascii="Arial" w:hAnsi="Arial" w:cs="Arial"/>
        </w:rPr>
        <w:t>I</w:t>
      </w:r>
      <w:r>
        <w:rPr>
          <w:rFonts w:ascii="Arial" w:hAnsi="Arial" w:cs="Arial"/>
        </w:rPr>
        <w:t xml:space="preserve">nvestment </w:t>
      </w:r>
      <w:r w:rsidR="00A15EF2">
        <w:rPr>
          <w:rFonts w:ascii="Arial" w:hAnsi="Arial" w:cs="Arial"/>
        </w:rPr>
        <w:t>Proposal</w:t>
      </w:r>
      <w:r>
        <w:rPr>
          <w:rFonts w:ascii="Arial" w:hAnsi="Arial" w:cs="Arial"/>
        </w:rPr>
        <w:t xml:space="preserve">, </w:t>
      </w:r>
      <w:r w:rsidR="008C0584">
        <w:rPr>
          <w:rFonts w:ascii="Arial" w:hAnsi="Arial" w:cs="Arial"/>
        </w:rPr>
        <w:t>F</w:t>
      </w:r>
      <w:r>
        <w:rPr>
          <w:rFonts w:ascii="Arial" w:hAnsi="Arial" w:cs="Arial"/>
        </w:rPr>
        <w:t xml:space="preserve">unding </w:t>
      </w:r>
      <w:r w:rsidR="008C0584">
        <w:rPr>
          <w:rFonts w:ascii="Arial" w:hAnsi="Arial" w:cs="Arial"/>
        </w:rPr>
        <w:t>A</w:t>
      </w:r>
      <w:r>
        <w:rPr>
          <w:rFonts w:ascii="Arial" w:hAnsi="Arial" w:cs="Arial"/>
        </w:rPr>
        <w:t xml:space="preserve">greement and </w:t>
      </w:r>
      <w:r w:rsidR="00AC14AB">
        <w:rPr>
          <w:rFonts w:ascii="Arial" w:hAnsi="Arial" w:cs="Arial"/>
        </w:rPr>
        <w:t xml:space="preserve">the existence of an approved local </w:t>
      </w:r>
      <w:r>
        <w:rPr>
          <w:rFonts w:ascii="Arial" w:hAnsi="Arial" w:cs="Arial"/>
        </w:rPr>
        <w:t>business case, NHS England will seek to categorise projects</w:t>
      </w:r>
      <w:r w:rsidR="002E6CD4">
        <w:rPr>
          <w:rFonts w:ascii="Arial" w:hAnsi="Arial" w:cs="Arial"/>
        </w:rPr>
        <w:t>. This will serve</w:t>
      </w:r>
      <w:r>
        <w:rPr>
          <w:rFonts w:ascii="Arial" w:hAnsi="Arial" w:cs="Arial"/>
        </w:rPr>
        <w:t xml:space="preserve"> as a foundation for identifying </w:t>
      </w:r>
      <w:r w:rsidR="00454A38">
        <w:rPr>
          <w:rFonts w:ascii="Arial" w:hAnsi="Arial" w:cs="Arial"/>
        </w:rPr>
        <w:t xml:space="preserve">future </w:t>
      </w:r>
      <w:r>
        <w:rPr>
          <w:rFonts w:ascii="Arial" w:hAnsi="Arial" w:cs="Arial"/>
        </w:rPr>
        <w:t xml:space="preserve">procurement support, and </w:t>
      </w:r>
      <w:r w:rsidR="002E6CD4">
        <w:rPr>
          <w:rFonts w:ascii="Arial" w:hAnsi="Arial" w:cs="Arial"/>
        </w:rPr>
        <w:t xml:space="preserve">in </w:t>
      </w:r>
      <w:r>
        <w:rPr>
          <w:rFonts w:ascii="Arial" w:hAnsi="Arial" w:cs="Arial"/>
        </w:rPr>
        <w:t>segment</w:t>
      </w:r>
      <w:r w:rsidR="002E6CD4">
        <w:rPr>
          <w:rFonts w:ascii="Arial" w:hAnsi="Arial" w:cs="Arial"/>
        </w:rPr>
        <w:t>ing</w:t>
      </w:r>
      <w:r>
        <w:rPr>
          <w:rFonts w:ascii="Arial" w:hAnsi="Arial" w:cs="Arial"/>
        </w:rPr>
        <w:t xml:space="preserve"> projects according to the level of risk they represent</w:t>
      </w:r>
      <w:r w:rsidR="002E6CD4">
        <w:rPr>
          <w:rFonts w:ascii="Arial" w:hAnsi="Arial" w:cs="Arial"/>
        </w:rPr>
        <w:t xml:space="preserve">, which in turn will </w:t>
      </w:r>
      <w:r>
        <w:rPr>
          <w:rFonts w:ascii="Arial" w:hAnsi="Arial" w:cs="Arial"/>
        </w:rPr>
        <w:t xml:space="preserve">inform </w:t>
      </w:r>
      <w:r w:rsidR="00454A38">
        <w:rPr>
          <w:rFonts w:ascii="Arial" w:hAnsi="Arial" w:cs="Arial"/>
        </w:rPr>
        <w:t>levels of challenge and support to be provided</w:t>
      </w:r>
      <w:r w:rsidR="002E6CD4">
        <w:rPr>
          <w:rFonts w:ascii="Arial" w:hAnsi="Arial" w:cs="Arial"/>
        </w:rPr>
        <w:t xml:space="preserve"> by NHS</w:t>
      </w:r>
      <w:r w:rsidR="000F7F18">
        <w:rPr>
          <w:rFonts w:ascii="Arial" w:hAnsi="Arial" w:cs="Arial"/>
        </w:rPr>
        <w:t xml:space="preserve"> </w:t>
      </w:r>
      <w:r w:rsidR="002E6CD4">
        <w:rPr>
          <w:rFonts w:ascii="Arial" w:hAnsi="Arial" w:cs="Arial"/>
        </w:rPr>
        <w:t>E</w:t>
      </w:r>
      <w:r w:rsidR="000F7F18">
        <w:rPr>
          <w:rFonts w:ascii="Arial" w:hAnsi="Arial" w:cs="Arial"/>
        </w:rPr>
        <w:t>ngland</w:t>
      </w:r>
      <w:r w:rsidR="00EA7E51">
        <w:rPr>
          <w:rFonts w:ascii="Arial" w:hAnsi="Arial" w:cs="Arial"/>
        </w:rPr>
        <w:t xml:space="preserve"> regional teams</w:t>
      </w:r>
      <w:r w:rsidR="00454A38">
        <w:rPr>
          <w:rFonts w:ascii="Arial" w:hAnsi="Arial" w:cs="Arial"/>
        </w:rPr>
        <w:t>.</w:t>
      </w:r>
    </w:p>
    <w:p w14:paraId="4B5EECC6" w14:textId="77777777" w:rsidR="000A4E13" w:rsidRPr="000A4E13" w:rsidRDefault="000A4E13" w:rsidP="000A4E13">
      <w:pPr>
        <w:pStyle w:val="ListParagraph"/>
        <w:rPr>
          <w:rFonts w:ascii="Arial" w:hAnsi="Arial" w:cs="Arial"/>
        </w:rPr>
      </w:pPr>
    </w:p>
    <w:p w14:paraId="13AE3C3A" w14:textId="53753C6B" w:rsidR="000A4E13" w:rsidRDefault="000A4E13" w:rsidP="00B05A0F">
      <w:pPr>
        <w:pStyle w:val="ListParagraph"/>
        <w:numPr>
          <w:ilvl w:val="1"/>
          <w:numId w:val="63"/>
        </w:numPr>
        <w:autoSpaceDE w:val="0"/>
        <w:autoSpaceDN w:val="0"/>
        <w:adjustRightInd w:val="0"/>
        <w:rPr>
          <w:rFonts w:ascii="Arial" w:hAnsi="Arial" w:cs="Arial"/>
        </w:rPr>
      </w:pPr>
      <w:r>
        <w:rPr>
          <w:rFonts w:ascii="Arial" w:hAnsi="Arial" w:cs="Arial"/>
        </w:rPr>
        <w:t>For some projects, as they are further defined through the Funding Agreement and detailed business case, their viability or attractiveness may be reduced fr</w:t>
      </w:r>
      <w:r w:rsidR="007F10BB">
        <w:rPr>
          <w:rFonts w:ascii="Arial" w:hAnsi="Arial" w:cs="Arial"/>
        </w:rPr>
        <w:t>om what was anticipated in the I</w:t>
      </w:r>
      <w:r>
        <w:rPr>
          <w:rFonts w:ascii="Arial" w:hAnsi="Arial" w:cs="Arial"/>
        </w:rPr>
        <w:t xml:space="preserve">nvestment </w:t>
      </w:r>
      <w:r w:rsidR="00A15EF2">
        <w:rPr>
          <w:rFonts w:ascii="Arial" w:hAnsi="Arial" w:cs="Arial"/>
        </w:rPr>
        <w:t>Proposal</w:t>
      </w:r>
      <w:r>
        <w:rPr>
          <w:rFonts w:ascii="Arial" w:hAnsi="Arial" w:cs="Arial"/>
        </w:rPr>
        <w:t xml:space="preserve">. </w:t>
      </w:r>
      <w:r w:rsidR="002E6CD4">
        <w:rPr>
          <w:rFonts w:ascii="Arial" w:hAnsi="Arial" w:cs="Arial"/>
        </w:rPr>
        <w:t xml:space="preserve">Additionally, some projects may encounter issues around procurement or delivery slippage. </w:t>
      </w:r>
      <w:r w:rsidR="008771B5">
        <w:rPr>
          <w:rFonts w:ascii="Arial" w:hAnsi="Arial" w:cs="Arial"/>
        </w:rPr>
        <w:t>Also, as set out in section 3</w:t>
      </w:r>
      <w:r w:rsidR="001F6576">
        <w:rPr>
          <w:rFonts w:ascii="Arial" w:hAnsi="Arial" w:cs="Arial"/>
        </w:rPr>
        <w:t>.</w:t>
      </w:r>
      <w:r w:rsidR="00B01DDE">
        <w:rPr>
          <w:rFonts w:ascii="Arial" w:hAnsi="Arial" w:cs="Arial"/>
        </w:rPr>
        <w:t>10</w:t>
      </w:r>
      <w:r w:rsidR="001F6576">
        <w:rPr>
          <w:rFonts w:ascii="Arial" w:hAnsi="Arial" w:cs="Arial"/>
        </w:rPr>
        <w:t xml:space="preserve">, successful bids for funding from other targeted programmes may create capacity in the portfolio. </w:t>
      </w:r>
      <w:r>
        <w:rPr>
          <w:rFonts w:ascii="Arial" w:hAnsi="Arial" w:cs="Arial"/>
        </w:rPr>
        <w:t xml:space="preserve">In such circumstances, the STP may wish to rescope or substitute </w:t>
      </w:r>
      <w:r w:rsidR="002E6CD4">
        <w:rPr>
          <w:rFonts w:ascii="Arial" w:hAnsi="Arial" w:cs="Arial"/>
        </w:rPr>
        <w:t xml:space="preserve">a </w:t>
      </w:r>
      <w:r>
        <w:rPr>
          <w:rFonts w:ascii="Arial" w:hAnsi="Arial" w:cs="Arial"/>
        </w:rPr>
        <w:t xml:space="preserve">project in the </w:t>
      </w:r>
      <w:r w:rsidR="001F7FBA">
        <w:rPr>
          <w:rFonts w:ascii="Arial" w:hAnsi="Arial" w:cs="Arial"/>
        </w:rPr>
        <w:t>portfolio</w:t>
      </w:r>
      <w:r w:rsidR="00E024B5">
        <w:rPr>
          <w:rFonts w:ascii="Arial" w:hAnsi="Arial" w:cs="Arial"/>
        </w:rPr>
        <w:t>, thereby avoiding any underspend of their allocation</w:t>
      </w:r>
      <w:r>
        <w:rPr>
          <w:rFonts w:ascii="Arial" w:hAnsi="Arial" w:cs="Arial"/>
        </w:rPr>
        <w:t xml:space="preserve">. </w:t>
      </w:r>
      <w:r w:rsidR="00E024B5">
        <w:rPr>
          <w:rFonts w:ascii="Arial" w:hAnsi="Arial" w:cs="Arial"/>
        </w:rPr>
        <w:t>Any changes to the portfolio will be subject to the same rules and guidance set out in previous sections.</w:t>
      </w:r>
      <w:r w:rsidR="003B5067">
        <w:rPr>
          <w:rFonts w:ascii="Arial" w:hAnsi="Arial" w:cs="Arial"/>
        </w:rPr>
        <w:t xml:space="preserve"> As set out in section </w:t>
      </w:r>
      <w:r w:rsidR="008771B5">
        <w:rPr>
          <w:rFonts w:ascii="Arial" w:hAnsi="Arial" w:cs="Arial"/>
        </w:rPr>
        <w:t>4</w:t>
      </w:r>
      <w:r w:rsidR="003B5067">
        <w:rPr>
          <w:rFonts w:ascii="Arial" w:hAnsi="Arial" w:cs="Arial"/>
        </w:rPr>
        <w:t>.</w:t>
      </w:r>
      <w:r w:rsidR="00CA028B">
        <w:rPr>
          <w:rFonts w:ascii="Arial" w:hAnsi="Arial" w:cs="Arial"/>
        </w:rPr>
        <w:t>1</w:t>
      </w:r>
      <w:r w:rsidR="00B01DDE">
        <w:rPr>
          <w:rFonts w:ascii="Arial" w:hAnsi="Arial" w:cs="Arial"/>
        </w:rPr>
        <w:t>0</w:t>
      </w:r>
      <w:r w:rsidR="003B5067">
        <w:rPr>
          <w:rFonts w:ascii="Arial" w:hAnsi="Arial" w:cs="Arial"/>
        </w:rPr>
        <w:t>, some contingencies may already have been pre-ap</w:t>
      </w:r>
      <w:r w:rsidR="007F10BB">
        <w:rPr>
          <w:rFonts w:ascii="Arial" w:hAnsi="Arial" w:cs="Arial"/>
        </w:rPr>
        <w:t>proved as part of the original I</w:t>
      </w:r>
      <w:r w:rsidR="003B5067">
        <w:rPr>
          <w:rFonts w:ascii="Arial" w:hAnsi="Arial" w:cs="Arial"/>
        </w:rPr>
        <w:t xml:space="preserve">nvestment </w:t>
      </w:r>
      <w:r w:rsidR="00A15EF2">
        <w:rPr>
          <w:rFonts w:ascii="Arial" w:hAnsi="Arial" w:cs="Arial"/>
        </w:rPr>
        <w:t>Proposal</w:t>
      </w:r>
      <w:r w:rsidR="003B5067">
        <w:rPr>
          <w:rFonts w:ascii="Arial" w:hAnsi="Arial" w:cs="Arial"/>
        </w:rPr>
        <w:t>.</w:t>
      </w:r>
    </w:p>
    <w:p w14:paraId="1E493DD0" w14:textId="77777777" w:rsidR="000A4E13" w:rsidRPr="000A4E13" w:rsidRDefault="000A4E13" w:rsidP="000A4E13">
      <w:pPr>
        <w:pStyle w:val="ListParagraph"/>
        <w:rPr>
          <w:rFonts w:ascii="Arial" w:hAnsi="Arial" w:cs="Arial"/>
        </w:rPr>
      </w:pPr>
    </w:p>
    <w:p w14:paraId="7AD505A3" w14:textId="77777777" w:rsidR="00454A38" w:rsidRDefault="008B7F1F" w:rsidP="00B05A0F">
      <w:pPr>
        <w:pStyle w:val="ListParagraph"/>
        <w:numPr>
          <w:ilvl w:val="1"/>
          <w:numId w:val="63"/>
        </w:numPr>
        <w:autoSpaceDE w:val="0"/>
        <w:autoSpaceDN w:val="0"/>
        <w:adjustRightInd w:val="0"/>
        <w:rPr>
          <w:rFonts w:ascii="Arial" w:hAnsi="Arial" w:cs="Arial"/>
        </w:rPr>
      </w:pPr>
      <w:r>
        <w:rPr>
          <w:rFonts w:ascii="Arial" w:hAnsi="Arial" w:cs="Arial"/>
        </w:rPr>
        <w:t>Capital f</w:t>
      </w:r>
      <w:r w:rsidR="00454A38">
        <w:rPr>
          <w:rFonts w:ascii="Arial" w:hAnsi="Arial" w:cs="Arial"/>
        </w:rPr>
        <w:t>unding will flow to NHS providers in the form of Public Dividend Capital, and to eligible VCSE providers as a capital grant.</w:t>
      </w:r>
    </w:p>
    <w:p w14:paraId="59463D71" w14:textId="77777777" w:rsidR="00454A38" w:rsidRPr="00454A38" w:rsidRDefault="00454A38" w:rsidP="00454A38">
      <w:pPr>
        <w:pStyle w:val="ListParagraph"/>
        <w:rPr>
          <w:rFonts w:ascii="Arial" w:hAnsi="Arial" w:cs="Arial"/>
        </w:rPr>
      </w:pPr>
    </w:p>
    <w:p w14:paraId="76B0025F" w14:textId="77777777" w:rsidR="003B5067" w:rsidRPr="003B5067" w:rsidRDefault="003B5067" w:rsidP="003B5067">
      <w:pPr>
        <w:pStyle w:val="ListParagraph"/>
        <w:rPr>
          <w:rFonts w:ascii="Arial" w:hAnsi="Arial" w:cs="Arial"/>
        </w:rPr>
      </w:pPr>
    </w:p>
    <w:p w14:paraId="5957ED0C" w14:textId="77777777" w:rsidR="00A73722" w:rsidRPr="00151B82" w:rsidRDefault="00A73722" w:rsidP="00151B82">
      <w:pPr>
        <w:pStyle w:val="ListParagraph"/>
        <w:rPr>
          <w:rFonts w:ascii="Arial" w:hAnsi="Arial" w:cs="Arial"/>
        </w:rPr>
      </w:pPr>
    </w:p>
    <w:p w14:paraId="1D2DCCFD" w14:textId="77777777" w:rsidR="00A73722" w:rsidRPr="00151B82" w:rsidRDefault="00A73722" w:rsidP="00151B82">
      <w:pPr>
        <w:autoSpaceDE w:val="0"/>
        <w:autoSpaceDN w:val="0"/>
        <w:adjustRightInd w:val="0"/>
        <w:rPr>
          <w:rFonts w:ascii="Arial" w:hAnsi="Arial" w:cs="Arial"/>
        </w:rPr>
      </w:pPr>
    </w:p>
    <w:p w14:paraId="011DC168" w14:textId="77777777" w:rsidR="00A73722" w:rsidRDefault="00A73722">
      <w:pPr>
        <w:rPr>
          <w:rFonts w:ascii="Arial" w:eastAsia="Times New Roman" w:hAnsi="Arial" w:cs="Arial"/>
          <w:b/>
          <w:bCs/>
          <w:color w:val="0072C6"/>
          <w:kern w:val="32"/>
          <w:sz w:val="32"/>
          <w:szCs w:val="32"/>
        </w:rPr>
      </w:pPr>
      <w:r>
        <w:rPr>
          <w:rFonts w:ascii="Arial" w:eastAsia="Times New Roman" w:hAnsi="Arial" w:cs="Arial"/>
          <w:b/>
          <w:bCs/>
          <w:color w:val="0072C6"/>
          <w:kern w:val="32"/>
          <w:sz w:val="32"/>
          <w:szCs w:val="32"/>
        </w:rPr>
        <w:br w:type="page"/>
      </w:r>
    </w:p>
    <w:p w14:paraId="6D916ECC" w14:textId="4100F7CC" w:rsidR="00A73722" w:rsidRPr="00932C88" w:rsidRDefault="00A73722" w:rsidP="00B05A0F">
      <w:pPr>
        <w:numPr>
          <w:ilvl w:val="0"/>
          <w:numId w:val="63"/>
        </w:numPr>
        <w:spacing w:after="0" w:line="240" w:lineRule="auto"/>
        <w:outlineLvl w:val="0"/>
        <w:rPr>
          <w:rFonts w:ascii="Arial" w:eastAsia="Times New Roman" w:hAnsi="Arial" w:cs="Arial"/>
          <w:b/>
          <w:bCs/>
          <w:color w:val="0072C6"/>
          <w:kern w:val="32"/>
          <w:sz w:val="28"/>
          <w:szCs w:val="32"/>
        </w:rPr>
      </w:pPr>
      <w:bookmarkStart w:id="14" w:name="_Toc521080045"/>
      <w:r w:rsidRPr="00932C88">
        <w:rPr>
          <w:rFonts w:ascii="Arial" w:eastAsia="Times New Roman" w:hAnsi="Arial" w:cs="Arial"/>
          <w:b/>
          <w:bCs/>
          <w:color w:val="0072C6"/>
          <w:kern w:val="32"/>
          <w:sz w:val="28"/>
          <w:szCs w:val="32"/>
        </w:rPr>
        <w:lastRenderedPageBreak/>
        <w:t>Reciprocal requirements and expectations for STP</w:t>
      </w:r>
      <w:r w:rsidR="00D43130" w:rsidRPr="00932C88">
        <w:rPr>
          <w:rFonts w:ascii="Arial" w:eastAsia="Times New Roman" w:hAnsi="Arial" w:cs="Arial"/>
          <w:b/>
          <w:bCs/>
          <w:color w:val="0072C6"/>
          <w:kern w:val="32"/>
          <w:sz w:val="28"/>
          <w:szCs w:val="32"/>
        </w:rPr>
        <w:t>/ICS</w:t>
      </w:r>
      <w:r w:rsidRPr="00932C88">
        <w:rPr>
          <w:rFonts w:ascii="Arial" w:eastAsia="Times New Roman" w:hAnsi="Arial" w:cs="Arial"/>
          <w:b/>
          <w:bCs/>
          <w:color w:val="0072C6"/>
          <w:kern w:val="32"/>
          <w:sz w:val="28"/>
          <w:szCs w:val="32"/>
        </w:rPr>
        <w:t>s</w:t>
      </w:r>
      <w:bookmarkEnd w:id="14"/>
    </w:p>
    <w:p w14:paraId="7F5474E7" w14:textId="77777777" w:rsidR="00A73722" w:rsidRDefault="00A73722" w:rsidP="00A73722">
      <w:pPr>
        <w:pStyle w:val="DocumentDate"/>
        <w:rPr>
          <w:color w:val="auto"/>
          <w:sz w:val="24"/>
        </w:rPr>
      </w:pPr>
    </w:p>
    <w:p w14:paraId="6615C3C4" w14:textId="77777777" w:rsidR="000971F2" w:rsidRPr="00932C88" w:rsidRDefault="000971F2" w:rsidP="000971F2">
      <w:pPr>
        <w:pStyle w:val="ListParagraph"/>
        <w:autoSpaceDE w:val="0"/>
        <w:autoSpaceDN w:val="0"/>
        <w:adjustRightInd w:val="0"/>
        <w:ind w:left="426"/>
        <w:rPr>
          <w:rFonts w:ascii="Arial" w:hAnsi="Arial" w:cs="Arial"/>
          <w:b/>
        </w:rPr>
      </w:pPr>
      <w:r w:rsidRPr="00932C88">
        <w:rPr>
          <w:rFonts w:ascii="Arial" w:hAnsi="Arial" w:cs="Arial"/>
          <w:b/>
        </w:rPr>
        <w:t>Interoperability Standards</w:t>
      </w:r>
    </w:p>
    <w:p w14:paraId="6C042E29" w14:textId="77777777" w:rsidR="000971F2" w:rsidRDefault="000971F2" w:rsidP="000971F2">
      <w:pPr>
        <w:pStyle w:val="ListParagraph"/>
        <w:autoSpaceDE w:val="0"/>
        <w:autoSpaceDN w:val="0"/>
        <w:adjustRightInd w:val="0"/>
        <w:ind w:left="576"/>
        <w:rPr>
          <w:rFonts w:ascii="Arial" w:hAnsi="Arial" w:cs="Arial"/>
        </w:rPr>
      </w:pPr>
    </w:p>
    <w:p w14:paraId="1ABD73C8" w14:textId="77777777" w:rsidR="00B342C8" w:rsidRDefault="00B342C8" w:rsidP="00B342C8">
      <w:pPr>
        <w:pStyle w:val="ListParagraph"/>
        <w:numPr>
          <w:ilvl w:val="1"/>
          <w:numId w:val="63"/>
        </w:numPr>
        <w:autoSpaceDE w:val="0"/>
        <w:autoSpaceDN w:val="0"/>
        <w:adjustRightInd w:val="0"/>
        <w:rPr>
          <w:rFonts w:ascii="Arial" w:hAnsi="Arial" w:cs="Arial"/>
        </w:rPr>
      </w:pPr>
      <w:r w:rsidRPr="008700EE">
        <w:rPr>
          <w:rFonts w:ascii="Arial" w:hAnsi="Arial" w:cs="Arial"/>
        </w:rPr>
        <w:t xml:space="preserve">STP/ICSs </w:t>
      </w:r>
      <w:r>
        <w:rPr>
          <w:rFonts w:ascii="Arial" w:hAnsi="Arial" w:cs="Arial"/>
        </w:rPr>
        <w:t>must</w:t>
      </w:r>
      <w:r w:rsidRPr="008700EE">
        <w:rPr>
          <w:rFonts w:ascii="Arial" w:hAnsi="Arial" w:cs="Arial"/>
        </w:rPr>
        <w:t xml:space="preserve"> ensure provider organisations comply with national interoperability </w:t>
      </w:r>
      <w:r>
        <w:rPr>
          <w:rFonts w:ascii="Arial" w:hAnsi="Arial" w:cs="Arial"/>
        </w:rPr>
        <w:t>standards</w:t>
      </w:r>
      <w:r w:rsidRPr="008700EE">
        <w:rPr>
          <w:rFonts w:ascii="Arial" w:hAnsi="Arial" w:cs="Arial"/>
        </w:rPr>
        <w:t xml:space="preserve"> </w:t>
      </w:r>
      <w:r>
        <w:rPr>
          <w:rFonts w:ascii="Arial" w:hAnsi="Arial" w:cs="Arial"/>
        </w:rPr>
        <w:t>designed to enable</w:t>
      </w:r>
      <w:r w:rsidRPr="008700EE">
        <w:rPr>
          <w:rFonts w:ascii="Arial" w:hAnsi="Arial" w:cs="Arial"/>
        </w:rPr>
        <w:t xml:space="preserve"> </w:t>
      </w:r>
      <w:r>
        <w:rPr>
          <w:rFonts w:ascii="Arial" w:hAnsi="Arial" w:cs="Arial"/>
        </w:rPr>
        <w:t xml:space="preserve">the </w:t>
      </w:r>
      <w:r w:rsidRPr="008700EE">
        <w:rPr>
          <w:rFonts w:ascii="Arial" w:hAnsi="Arial" w:cs="Arial"/>
        </w:rPr>
        <w:t>effective</w:t>
      </w:r>
      <w:r>
        <w:rPr>
          <w:rFonts w:ascii="Arial" w:hAnsi="Arial" w:cs="Arial"/>
        </w:rPr>
        <w:t xml:space="preserve"> sharing of</w:t>
      </w:r>
      <w:r w:rsidRPr="008700EE">
        <w:rPr>
          <w:rFonts w:ascii="Arial" w:hAnsi="Arial" w:cs="Arial"/>
        </w:rPr>
        <w:t xml:space="preserve"> data across care settings. This includes </w:t>
      </w:r>
      <w:r>
        <w:rPr>
          <w:rFonts w:ascii="Arial" w:hAnsi="Arial" w:cs="Arial"/>
        </w:rPr>
        <w:t xml:space="preserve">the use of: </w:t>
      </w:r>
    </w:p>
    <w:p w14:paraId="3C4374F1" w14:textId="667046C5" w:rsidR="00B342C8" w:rsidRPr="00B342C8" w:rsidRDefault="00B342C8" w:rsidP="00B342C8">
      <w:pPr>
        <w:pStyle w:val="ListParagraph"/>
        <w:numPr>
          <w:ilvl w:val="0"/>
          <w:numId w:val="66"/>
        </w:numPr>
        <w:autoSpaceDE w:val="0"/>
        <w:autoSpaceDN w:val="0"/>
        <w:adjustRightInd w:val="0"/>
        <w:rPr>
          <w:rFonts w:ascii="Arial" w:hAnsi="Arial" w:cs="Arial"/>
        </w:rPr>
      </w:pPr>
      <w:r w:rsidRPr="00B342C8">
        <w:rPr>
          <w:rFonts w:ascii="Arial" w:hAnsi="Arial" w:cs="Arial"/>
        </w:rPr>
        <w:t xml:space="preserve">Open APIs </w:t>
      </w:r>
      <w:r>
        <w:rPr>
          <w:rFonts w:ascii="Arial" w:hAnsi="Arial" w:cs="Arial"/>
        </w:rPr>
        <w:t>(</w:t>
      </w:r>
      <w:r w:rsidRPr="00B342C8">
        <w:rPr>
          <w:rFonts w:ascii="Arial" w:hAnsi="Arial" w:cs="Arial"/>
        </w:rPr>
        <w:t>i.e. the CareConnect profiles</w:t>
      </w:r>
      <w:r>
        <w:rPr>
          <w:rFonts w:ascii="Arial" w:hAnsi="Arial" w:cs="Arial"/>
        </w:rPr>
        <w:t>)</w:t>
      </w:r>
      <w:r w:rsidRPr="00B342C8">
        <w:rPr>
          <w:rFonts w:ascii="Arial" w:hAnsi="Arial" w:cs="Arial"/>
        </w:rPr>
        <w:t xml:space="preserve"> to enable sharing of elements of the care record</w:t>
      </w:r>
    </w:p>
    <w:p w14:paraId="7A776562" w14:textId="3B6688A8" w:rsidR="00B342C8" w:rsidRDefault="00B342C8" w:rsidP="00B342C8">
      <w:pPr>
        <w:pStyle w:val="ListParagraph"/>
        <w:numPr>
          <w:ilvl w:val="0"/>
          <w:numId w:val="66"/>
        </w:numPr>
        <w:autoSpaceDE w:val="0"/>
        <w:autoSpaceDN w:val="0"/>
        <w:adjustRightInd w:val="0"/>
        <w:rPr>
          <w:rFonts w:ascii="Arial" w:hAnsi="Arial" w:cs="Arial"/>
        </w:rPr>
      </w:pPr>
      <w:r>
        <w:rPr>
          <w:rFonts w:ascii="Arial" w:hAnsi="Arial" w:cs="Arial"/>
        </w:rPr>
        <w:t>Transfer of care standards aligned with PRSB standards</w:t>
      </w:r>
      <w:r w:rsidR="00742982">
        <w:rPr>
          <w:rFonts w:ascii="Arial" w:hAnsi="Arial" w:cs="Arial"/>
        </w:rPr>
        <w:t>.</w:t>
      </w:r>
    </w:p>
    <w:p w14:paraId="1535FD79" w14:textId="77777777" w:rsidR="00B342C8" w:rsidRDefault="00B342C8" w:rsidP="00B342C8">
      <w:pPr>
        <w:autoSpaceDE w:val="0"/>
        <w:autoSpaceDN w:val="0"/>
        <w:adjustRightInd w:val="0"/>
        <w:spacing w:after="0"/>
        <w:rPr>
          <w:rFonts w:ascii="Arial" w:hAnsi="Arial" w:cs="Arial"/>
        </w:rPr>
      </w:pPr>
    </w:p>
    <w:p w14:paraId="36DAAD14" w14:textId="1DEE8BE7" w:rsidR="00B342C8" w:rsidRDefault="00B342C8" w:rsidP="00B342C8">
      <w:pPr>
        <w:pStyle w:val="ListParagraph"/>
        <w:numPr>
          <w:ilvl w:val="1"/>
          <w:numId w:val="63"/>
        </w:numPr>
        <w:autoSpaceDE w:val="0"/>
        <w:autoSpaceDN w:val="0"/>
        <w:adjustRightInd w:val="0"/>
        <w:rPr>
          <w:rFonts w:ascii="Arial" w:hAnsi="Arial" w:cs="Arial"/>
        </w:rPr>
      </w:pPr>
      <w:r w:rsidRPr="00B342C8">
        <w:rPr>
          <w:rFonts w:ascii="Arial" w:hAnsi="Arial" w:cs="Arial"/>
        </w:rPr>
        <w:t xml:space="preserve">This </w:t>
      </w:r>
      <w:r>
        <w:rPr>
          <w:rFonts w:ascii="Arial" w:hAnsi="Arial" w:cs="Arial"/>
        </w:rPr>
        <w:t>will</w:t>
      </w:r>
      <w:r w:rsidRPr="00B342C8">
        <w:rPr>
          <w:rFonts w:ascii="Arial" w:hAnsi="Arial" w:cs="Arial"/>
        </w:rPr>
        <w:t xml:space="preserve"> support the Standard Contract requirements</w:t>
      </w:r>
      <w:r>
        <w:rPr>
          <w:rFonts w:ascii="Arial" w:hAnsi="Arial" w:cs="Arial"/>
        </w:rPr>
        <w:t>:</w:t>
      </w:r>
    </w:p>
    <w:p w14:paraId="6AC019BF" w14:textId="77777777" w:rsidR="00B342C8" w:rsidRDefault="00B342C8" w:rsidP="00B342C8">
      <w:pPr>
        <w:pStyle w:val="ListParagraph"/>
        <w:numPr>
          <w:ilvl w:val="0"/>
          <w:numId w:val="67"/>
        </w:numPr>
        <w:autoSpaceDE w:val="0"/>
        <w:autoSpaceDN w:val="0"/>
        <w:adjustRightInd w:val="0"/>
        <w:rPr>
          <w:rFonts w:ascii="Arial" w:hAnsi="Arial" w:cs="Arial"/>
        </w:rPr>
      </w:pPr>
      <w:r>
        <w:rPr>
          <w:rFonts w:ascii="Arial" w:hAnsi="Arial" w:cs="Arial"/>
        </w:rPr>
        <w:t>B</w:t>
      </w:r>
      <w:r w:rsidRPr="00B342C8">
        <w:rPr>
          <w:rFonts w:ascii="Arial" w:hAnsi="Arial" w:cs="Arial"/>
        </w:rPr>
        <w:t xml:space="preserve">y Oct ’18 that providers should have aligned their outpatient letters and inpatient, emergency care and mental health discharges to nationally published or have locally agreed plans in place to do so </w:t>
      </w:r>
    </w:p>
    <w:p w14:paraId="5310BE0E" w14:textId="67956859" w:rsidR="00B342C8" w:rsidRPr="00B342C8" w:rsidRDefault="00B342C8" w:rsidP="00B342C8">
      <w:pPr>
        <w:pStyle w:val="ListParagraph"/>
        <w:numPr>
          <w:ilvl w:val="0"/>
          <w:numId w:val="67"/>
        </w:numPr>
        <w:autoSpaceDE w:val="0"/>
        <w:autoSpaceDN w:val="0"/>
        <w:adjustRightInd w:val="0"/>
        <w:rPr>
          <w:rFonts w:ascii="Arial" w:hAnsi="Arial" w:cs="Arial"/>
        </w:rPr>
      </w:pPr>
      <w:r>
        <w:rPr>
          <w:rFonts w:ascii="Arial" w:hAnsi="Arial" w:cs="Arial"/>
        </w:rPr>
        <w:t>B</w:t>
      </w:r>
      <w:r w:rsidRPr="00B342C8">
        <w:rPr>
          <w:rFonts w:ascii="Arial" w:hAnsi="Arial" w:cs="Arial"/>
        </w:rPr>
        <w:t>y Dec ’18 that providers should have enabled delivery of Open APIs using the CareConnect Profiles or have locally agreed plans in place to do so</w:t>
      </w:r>
      <w:r w:rsidR="00742982">
        <w:rPr>
          <w:rFonts w:ascii="Arial" w:hAnsi="Arial" w:cs="Arial"/>
        </w:rPr>
        <w:t>.</w:t>
      </w:r>
    </w:p>
    <w:p w14:paraId="6D46A0DD" w14:textId="503EF855" w:rsidR="00EC5C4E" w:rsidRDefault="00EC5C4E" w:rsidP="00EC5C4E">
      <w:pPr>
        <w:pStyle w:val="ListParagraph"/>
        <w:autoSpaceDE w:val="0"/>
        <w:autoSpaceDN w:val="0"/>
        <w:adjustRightInd w:val="0"/>
        <w:ind w:left="576"/>
        <w:rPr>
          <w:rFonts w:ascii="Arial" w:hAnsi="Arial" w:cs="Arial"/>
        </w:rPr>
      </w:pPr>
    </w:p>
    <w:p w14:paraId="49962C48" w14:textId="4F1B37CB" w:rsidR="00EC5C4E" w:rsidRDefault="00EC5C4E" w:rsidP="000971F2">
      <w:pPr>
        <w:pStyle w:val="ListParagraph"/>
        <w:numPr>
          <w:ilvl w:val="1"/>
          <w:numId w:val="63"/>
        </w:numPr>
        <w:autoSpaceDE w:val="0"/>
        <w:autoSpaceDN w:val="0"/>
        <w:adjustRightInd w:val="0"/>
        <w:rPr>
          <w:rFonts w:ascii="Arial" w:hAnsi="Arial" w:cs="Arial"/>
        </w:rPr>
      </w:pPr>
      <w:r>
        <w:rPr>
          <w:rFonts w:ascii="Arial" w:hAnsi="Arial" w:cs="Arial"/>
        </w:rPr>
        <w:t>STP/ICSs should ensure that provider organisations are working towards the key interoperability priorities, for which nationally published specifications will be provided:</w:t>
      </w:r>
    </w:p>
    <w:p w14:paraId="349883BF" w14:textId="09E11F36" w:rsidR="00EC5C4E" w:rsidRDefault="00EC5C4E" w:rsidP="00EC5C4E">
      <w:pPr>
        <w:pStyle w:val="ListParagraph"/>
        <w:numPr>
          <w:ilvl w:val="0"/>
          <w:numId w:val="68"/>
        </w:numPr>
        <w:autoSpaceDE w:val="0"/>
        <w:autoSpaceDN w:val="0"/>
        <w:adjustRightInd w:val="0"/>
        <w:rPr>
          <w:rFonts w:ascii="Arial" w:hAnsi="Arial" w:cs="Arial"/>
        </w:rPr>
      </w:pPr>
      <w:bookmarkStart w:id="15" w:name="_GoBack"/>
      <w:bookmarkEnd w:id="15"/>
      <w:r>
        <w:rPr>
          <w:rFonts w:ascii="Arial" w:hAnsi="Arial" w:cs="Arial"/>
        </w:rPr>
        <w:t>Sharing of structured basic observations</w:t>
      </w:r>
    </w:p>
    <w:p w14:paraId="67141E73" w14:textId="156DE8F7" w:rsidR="00EC5C4E" w:rsidRDefault="00EC5C4E" w:rsidP="00EC5C4E">
      <w:pPr>
        <w:pStyle w:val="ListParagraph"/>
        <w:numPr>
          <w:ilvl w:val="0"/>
          <w:numId w:val="68"/>
        </w:numPr>
        <w:autoSpaceDE w:val="0"/>
        <w:autoSpaceDN w:val="0"/>
        <w:adjustRightInd w:val="0"/>
        <w:rPr>
          <w:rFonts w:ascii="Arial" w:hAnsi="Arial" w:cs="Arial"/>
        </w:rPr>
      </w:pPr>
      <w:r>
        <w:rPr>
          <w:rFonts w:ascii="Arial" w:hAnsi="Arial" w:cs="Arial"/>
        </w:rPr>
        <w:t>Sharing of structured dates and schedules</w:t>
      </w:r>
    </w:p>
    <w:p w14:paraId="35F86600" w14:textId="387D66FC" w:rsidR="00EC5C4E" w:rsidRDefault="00EC5C4E" w:rsidP="00EC5C4E">
      <w:pPr>
        <w:pStyle w:val="ListParagraph"/>
        <w:numPr>
          <w:ilvl w:val="0"/>
          <w:numId w:val="68"/>
        </w:numPr>
        <w:autoSpaceDE w:val="0"/>
        <w:autoSpaceDN w:val="0"/>
        <w:adjustRightInd w:val="0"/>
        <w:rPr>
          <w:rFonts w:ascii="Arial" w:hAnsi="Arial" w:cs="Arial"/>
        </w:rPr>
      </w:pPr>
      <w:r>
        <w:rPr>
          <w:rFonts w:ascii="Arial" w:hAnsi="Arial" w:cs="Arial"/>
        </w:rPr>
        <w:t>Sharing of structured basic pathology information</w:t>
      </w:r>
    </w:p>
    <w:p w14:paraId="7B20E851" w14:textId="6E012308" w:rsidR="00EC5C4E" w:rsidRDefault="00EC5C4E" w:rsidP="00EC5C4E">
      <w:pPr>
        <w:pStyle w:val="ListParagraph"/>
        <w:numPr>
          <w:ilvl w:val="0"/>
          <w:numId w:val="68"/>
        </w:numPr>
        <w:autoSpaceDE w:val="0"/>
        <w:autoSpaceDN w:val="0"/>
        <w:adjustRightInd w:val="0"/>
        <w:rPr>
          <w:rFonts w:ascii="Arial" w:hAnsi="Arial" w:cs="Arial"/>
        </w:rPr>
      </w:pPr>
      <w:r>
        <w:rPr>
          <w:rFonts w:ascii="Arial" w:hAnsi="Arial" w:cs="Arial"/>
        </w:rPr>
        <w:t>Sharing of medications that are machine readable and interoperable</w:t>
      </w:r>
    </w:p>
    <w:p w14:paraId="3CA9E670" w14:textId="0834DD6A" w:rsidR="00EC5C4E" w:rsidRDefault="00EC5C4E" w:rsidP="00EC5C4E">
      <w:pPr>
        <w:pStyle w:val="ListParagraph"/>
        <w:numPr>
          <w:ilvl w:val="0"/>
          <w:numId w:val="68"/>
        </w:numPr>
        <w:autoSpaceDE w:val="0"/>
        <w:autoSpaceDN w:val="0"/>
        <w:adjustRightInd w:val="0"/>
        <w:rPr>
          <w:rFonts w:ascii="Arial" w:hAnsi="Arial" w:cs="Arial"/>
        </w:rPr>
      </w:pPr>
      <w:r>
        <w:rPr>
          <w:rFonts w:ascii="Arial" w:hAnsi="Arial" w:cs="Arial"/>
        </w:rPr>
        <w:t>Use of the NHS number at the point of care</w:t>
      </w:r>
    </w:p>
    <w:p w14:paraId="2E0B7283" w14:textId="3975E816" w:rsidR="00EC5C4E" w:rsidRDefault="00EC5C4E" w:rsidP="00EC5C4E">
      <w:pPr>
        <w:pStyle w:val="ListParagraph"/>
        <w:numPr>
          <w:ilvl w:val="0"/>
          <w:numId w:val="68"/>
        </w:numPr>
        <w:autoSpaceDE w:val="0"/>
        <w:autoSpaceDN w:val="0"/>
        <w:adjustRightInd w:val="0"/>
        <w:rPr>
          <w:rFonts w:ascii="Arial" w:hAnsi="Arial" w:cs="Arial"/>
        </w:rPr>
      </w:pPr>
      <w:r w:rsidRPr="00EC5C4E">
        <w:rPr>
          <w:rFonts w:ascii="Arial" w:hAnsi="Arial" w:cs="Arial"/>
        </w:rPr>
        <w:t>The use of a consistent set of terminology and diagnostic codes (SNOMED CT and dm+d)</w:t>
      </w:r>
    </w:p>
    <w:p w14:paraId="4C544D1C" w14:textId="69D11DEF" w:rsidR="00EC5C4E" w:rsidRPr="00EC5C4E" w:rsidRDefault="00EC5C4E" w:rsidP="00EC5C4E">
      <w:pPr>
        <w:pStyle w:val="ListParagraph"/>
        <w:numPr>
          <w:ilvl w:val="0"/>
          <w:numId w:val="68"/>
        </w:numPr>
        <w:autoSpaceDE w:val="0"/>
        <w:autoSpaceDN w:val="0"/>
        <w:adjustRightInd w:val="0"/>
        <w:rPr>
          <w:rFonts w:ascii="Arial" w:hAnsi="Arial" w:cs="Arial"/>
        </w:rPr>
      </w:pPr>
      <w:r w:rsidRPr="00EC5C4E">
        <w:rPr>
          <w:rFonts w:ascii="Arial" w:hAnsi="Arial" w:cs="Arial"/>
        </w:rPr>
        <w:t>The use of a consistent staff identifier within any information exchange</w:t>
      </w:r>
      <w:r w:rsidR="00742982">
        <w:rPr>
          <w:rFonts w:ascii="Arial" w:hAnsi="Arial" w:cs="Arial"/>
        </w:rPr>
        <w:t>.</w:t>
      </w:r>
    </w:p>
    <w:p w14:paraId="7E68D8B2" w14:textId="77777777" w:rsidR="000971F2" w:rsidRDefault="000971F2" w:rsidP="000971F2">
      <w:pPr>
        <w:pStyle w:val="ListParagraph"/>
        <w:rPr>
          <w:rFonts w:ascii="Arial" w:hAnsi="Arial" w:cs="Arial"/>
        </w:rPr>
      </w:pPr>
    </w:p>
    <w:p w14:paraId="174E1582" w14:textId="77777777" w:rsidR="00D33C23" w:rsidRPr="00932C88" w:rsidRDefault="00D33C23" w:rsidP="00D33C23">
      <w:pPr>
        <w:pStyle w:val="ListParagraph"/>
        <w:autoSpaceDE w:val="0"/>
        <w:autoSpaceDN w:val="0"/>
        <w:adjustRightInd w:val="0"/>
        <w:ind w:left="426"/>
        <w:rPr>
          <w:rFonts w:ascii="Arial" w:hAnsi="Arial" w:cs="Arial"/>
          <w:b/>
        </w:rPr>
      </w:pPr>
      <w:r w:rsidRPr="00932C88">
        <w:rPr>
          <w:rFonts w:ascii="Arial" w:hAnsi="Arial" w:cs="Arial"/>
          <w:b/>
        </w:rPr>
        <w:t>Cyber Security</w:t>
      </w:r>
    </w:p>
    <w:p w14:paraId="299BE4FC" w14:textId="77777777" w:rsidR="00D33C23" w:rsidRPr="00B5225D" w:rsidRDefault="00D33C23" w:rsidP="000971F2">
      <w:pPr>
        <w:pStyle w:val="ListParagraph"/>
        <w:rPr>
          <w:rFonts w:ascii="Arial" w:hAnsi="Arial" w:cs="Arial"/>
        </w:rPr>
      </w:pPr>
    </w:p>
    <w:p w14:paraId="5CAC5955" w14:textId="3CB53AC8" w:rsidR="000971F2" w:rsidRDefault="000971F2" w:rsidP="000971F2">
      <w:pPr>
        <w:pStyle w:val="ListParagraph"/>
        <w:numPr>
          <w:ilvl w:val="1"/>
          <w:numId w:val="63"/>
        </w:numPr>
        <w:autoSpaceDE w:val="0"/>
        <w:autoSpaceDN w:val="0"/>
        <w:adjustRightInd w:val="0"/>
        <w:rPr>
          <w:rFonts w:ascii="Arial" w:hAnsi="Arial" w:cs="Arial"/>
        </w:rPr>
      </w:pPr>
      <w:r>
        <w:rPr>
          <w:rFonts w:ascii="Arial" w:hAnsi="Arial" w:cs="Arial"/>
        </w:rPr>
        <w:t>All healthcare systems must also take active steps to reduce cyber risks and mitigate the effects of future attack. STP</w:t>
      </w:r>
      <w:r w:rsidR="00EA28C8">
        <w:rPr>
          <w:rFonts w:ascii="Arial" w:hAnsi="Arial" w:cs="Arial"/>
        </w:rPr>
        <w:t>/ICS</w:t>
      </w:r>
      <w:r>
        <w:rPr>
          <w:rFonts w:ascii="Arial" w:hAnsi="Arial" w:cs="Arial"/>
        </w:rPr>
        <w:t>s should take a lead role in ensuring all parts of the system are addressing basic issues such as the use of unsupported software like Windows XP, and are compliant with the National Data Guardian’s 10 Cyber Security Standards</w:t>
      </w:r>
      <w:r w:rsidR="00EA28C8" w:rsidRPr="00EA28C8">
        <w:rPr>
          <w:rFonts w:ascii="Arial" w:hAnsi="Arial" w:cs="Arial"/>
        </w:rPr>
        <w:t xml:space="preserve">, </w:t>
      </w:r>
      <w:r w:rsidR="00EA28C8">
        <w:rPr>
          <w:rFonts w:ascii="Arial" w:hAnsi="Arial" w:cs="Arial"/>
        </w:rPr>
        <w:t xml:space="preserve">and </w:t>
      </w:r>
      <w:r w:rsidR="00EA28C8" w:rsidRPr="00EA28C8">
        <w:rPr>
          <w:rFonts w:ascii="Arial" w:hAnsi="Arial" w:cs="Arial"/>
        </w:rPr>
        <w:t>that they have undertaken an online assessment and have clear plans in place to be Cyber Essentials + accredited</w:t>
      </w:r>
      <w:r>
        <w:rPr>
          <w:rFonts w:ascii="Arial" w:hAnsi="Arial" w:cs="Arial"/>
        </w:rPr>
        <w:t>.</w:t>
      </w:r>
    </w:p>
    <w:p w14:paraId="5AEBFE26" w14:textId="77777777" w:rsidR="000971F2" w:rsidRPr="00EF08F0" w:rsidRDefault="000971F2" w:rsidP="000971F2">
      <w:pPr>
        <w:pStyle w:val="ListParagraph"/>
        <w:rPr>
          <w:rFonts w:ascii="Arial" w:hAnsi="Arial" w:cs="Arial"/>
        </w:rPr>
      </w:pPr>
    </w:p>
    <w:p w14:paraId="2A81E3B4" w14:textId="70CB1860" w:rsidR="000971F2" w:rsidRPr="00932C88" w:rsidRDefault="00D43130" w:rsidP="000971F2">
      <w:pPr>
        <w:pStyle w:val="ListParagraph"/>
        <w:autoSpaceDE w:val="0"/>
        <w:autoSpaceDN w:val="0"/>
        <w:adjustRightInd w:val="0"/>
        <w:ind w:left="426"/>
        <w:rPr>
          <w:rFonts w:ascii="Arial" w:hAnsi="Arial" w:cs="Arial"/>
          <w:b/>
        </w:rPr>
      </w:pPr>
      <w:r w:rsidRPr="00932C88">
        <w:rPr>
          <w:rFonts w:ascii="Arial" w:hAnsi="Arial" w:cs="Arial"/>
          <w:b/>
        </w:rPr>
        <w:t>Data Submissions</w:t>
      </w:r>
    </w:p>
    <w:p w14:paraId="54093972" w14:textId="77777777" w:rsidR="000971F2" w:rsidRPr="00EF08F0" w:rsidRDefault="000971F2" w:rsidP="000971F2">
      <w:pPr>
        <w:pStyle w:val="ListParagraph"/>
        <w:autoSpaceDE w:val="0"/>
        <w:autoSpaceDN w:val="0"/>
        <w:adjustRightInd w:val="0"/>
        <w:ind w:left="576"/>
        <w:rPr>
          <w:rFonts w:ascii="Arial" w:hAnsi="Arial" w:cs="Arial"/>
        </w:rPr>
      </w:pPr>
    </w:p>
    <w:p w14:paraId="00EDA814" w14:textId="327E1C13" w:rsidR="000971F2" w:rsidRDefault="000971F2" w:rsidP="000971F2">
      <w:pPr>
        <w:pStyle w:val="ListParagraph"/>
        <w:numPr>
          <w:ilvl w:val="1"/>
          <w:numId w:val="63"/>
        </w:numPr>
        <w:autoSpaceDE w:val="0"/>
        <w:autoSpaceDN w:val="0"/>
        <w:adjustRightInd w:val="0"/>
        <w:rPr>
          <w:rFonts w:ascii="Arial" w:hAnsi="Arial" w:cs="Arial"/>
        </w:rPr>
      </w:pPr>
      <w:r w:rsidRPr="0024112C">
        <w:rPr>
          <w:rFonts w:ascii="Arial" w:hAnsi="Arial" w:cs="Arial"/>
        </w:rPr>
        <w:t>STP</w:t>
      </w:r>
      <w:r>
        <w:rPr>
          <w:rFonts w:ascii="Arial" w:hAnsi="Arial" w:cs="Arial"/>
        </w:rPr>
        <w:t>/ICS</w:t>
      </w:r>
      <w:r w:rsidRPr="0024112C">
        <w:rPr>
          <w:rFonts w:ascii="Arial" w:hAnsi="Arial" w:cs="Arial"/>
        </w:rPr>
        <w:t>s are expected to secur</w:t>
      </w:r>
      <w:r w:rsidR="00D33C23">
        <w:rPr>
          <w:rFonts w:ascii="Arial" w:hAnsi="Arial" w:cs="Arial"/>
        </w:rPr>
        <w:t>e</w:t>
      </w:r>
      <w:r w:rsidRPr="0024112C">
        <w:rPr>
          <w:rFonts w:ascii="Arial" w:hAnsi="Arial" w:cs="Arial"/>
        </w:rPr>
        <w:t xml:space="preserve"> local compliance with the submission of </w:t>
      </w:r>
      <w:r>
        <w:rPr>
          <w:rFonts w:ascii="Arial" w:hAnsi="Arial" w:cs="Arial"/>
        </w:rPr>
        <w:t xml:space="preserve">clinical </w:t>
      </w:r>
      <w:r w:rsidRPr="0024112C">
        <w:rPr>
          <w:rFonts w:ascii="Arial" w:hAnsi="Arial" w:cs="Arial"/>
        </w:rPr>
        <w:t>datasets and statutory reporting to national systems</w:t>
      </w:r>
      <w:r>
        <w:rPr>
          <w:rFonts w:ascii="Arial" w:hAnsi="Arial" w:cs="Arial"/>
        </w:rPr>
        <w:t xml:space="preserve"> – for example, </w:t>
      </w:r>
      <w:r w:rsidRPr="0024112C">
        <w:rPr>
          <w:rFonts w:ascii="Arial" w:hAnsi="Arial" w:cs="Arial"/>
        </w:rPr>
        <w:t>Commissioning Data Sets (CDS) including critical care / maternity data tails where appropriate to SUS+. The content of data submissions are expected to be in accordance with national guidance, complete and submitted in line with national data submission timetables.</w:t>
      </w:r>
    </w:p>
    <w:p w14:paraId="3855BCB1" w14:textId="77777777" w:rsidR="000971F2" w:rsidRPr="0008525A" w:rsidRDefault="000971F2" w:rsidP="0008525A">
      <w:pPr>
        <w:pStyle w:val="ListParagraph"/>
        <w:autoSpaceDE w:val="0"/>
        <w:autoSpaceDN w:val="0"/>
        <w:adjustRightInd w:val="0"/>
        <w:ind w:left="426"/>
        <w:rPr>
          <w:rFonts w:ascii="Arial" w:hAnsi="Arial"/>
          <w:b/>
          <w:sz w:val="28"/>
        </w:rPr>
      </w:pPr>
    </w:p>
    <w:p w14:paraId="4C349955" w14:textId="77777777" w:rsidR="000971F2" w:rsidRPr="00932C88" w:rsidRDefault="000971F2" w:rsidP="000971F2">
      <w:pPr>
        <w:pStyle w:val="ListParagraph"/>
        <w:autoSpaceDE w:val="0"/>
        <w:autoSpaceDN w:val="0"/>
        <w:adjustRightInd w:val="0"/>
        <w:ind w:left="426"/>
        <w:rPr>
          <w:rFonts w:ascii="Arial" w:hAnsi="Arial" w:cs="Arial"/>
          <w:b/>
        </w:rPr>
      </w:pPr>
      <w:r w:rsidRPr="00932C88">
        <w:rPr>
          <w:rFonts w:ascii="Arial" w:hAnsi="Arial" w:cs="Arial"/>
          <w:b/>
        </w:rPr>
        <w:t>Obsolete Technology</w:t>
      </w:r>
    </w:p>
    <w:p w14:paraId="18EB3EAD" w14:textId="77777777" w:rsidR="000971F2" w:rsidRPr="00EF08F0" w:rsidRDefault="000971F2" w:rsidP="000971F2">
      <w:pPr>
        <w:pStyle w:val="ListParagraph"/>
        <w:autoSpaceDE w:val="0"/>
        <w:autoSpaceDN w:val="0"/>
        <w:adjustRightInd w:val="0"/>
        <w:ind w:left="576"/>
        <w:rPr>
          <w:rFonts w:ascii="Arial" w:hAnsi="Arial" w:cs="Arial"/>
        </w:rPr>
      </w:pPr>
    </w:p>
    <w:p w14:paraId="13D042CD" w14:textId="77777777" w:rsidR="000971F2" w:rsidRDefault="000971F2" w:rsidP="000971F2">
      <w:pPr>
        <w:pStyle w:val="ListParagraph"/>
        <w:numPr>
          <w:ilvl w:val="1"/>
          <w:numId w:val="63"/>
        </w:numPr>
        <w:autoSpaceDE w:val="0"/>
        <w:autoSpaceDN w:val="0"/>
        <w:adjustRightInd w:val="0"/>
        <w:rPr>
          <w:rFonts w:ascii="Arial" w:hAnsi="Arial" w:cs="Arial"/>
        </w:rPr>
      </w:pPr>
      <w:r w:rsidRPr="0024112C">
        <w:rPr>
          <w:rFonts w:ascii="Arial" w:hAnsi="Arial" w:cs="Arial"/>
        </w:rPr>
        <w:t>STP</w:t>
      </w:r>
      <w:r>
        <w:rPr>
          <w:rFonts w:ascii="Arial" w:hAnsi="Arial" w:cs="Arial"/>
        </w:rPr>
        <w:t>/ICS</w:t>
      </w:r>
      <w:r w:rsidRPr="0024112C">
        <w:rPr>
          <w:rFonts w:ascii="Arial" w:hAnsi="Arial" w:cs="Arial"/>
        </w:rPr>
        <w:t xml:space="preserve">s </w:t>
      </w:r>
      <w:r>
        <w:rPr>
          <w:rFonts w:ascii="Arial" w:hAnsi="Arial" w:cs="Arial"/>
        </w:rPr>
        <w:t xml:space="preserve">must ensure that providers reduce and eventually remove their current reliance on out-of-date technology such as fax machines and pagers. Specifically, the Funding Agreements developed as part of this process will </w:t>
      </w:r>
      <w:r w:rsidR="00D33C23">
        <w:rPr>
          <w:rFonts w:ascii="Arial" w:hAnsi="Arial" w:cs="Arial"/>
        </w:rPr>
        <w:t xml:space="preserve">include a </w:t>
      </w:r>
      <w:r>
        <w:rPr>
          <w:rFonts w:ascii="Arial" w:hAnsi="Arial" w:cs="Arial"/>
        </w:rPr>
        <w:t xml:space="preserve">requirement to </w:t>
      </w:r>
      <w:r w:rsidR="00D33C23">
        <w:rPr>
          <w:rFonts w:ascii="Arial" w:hAnsi="Arial" w:cs="Arial"/>
        </w:rPr>
        <w:t>declare the number of fax machines currently in use; that these will be replaced by March 2020; and that all organisations will positively confirm to Dr Simon Eccles, NHS CCIO, when this is completed.</w:t>
      </w:r>
    </w:p>
    <w:p w14:paraId="379F5EAE" w14:textId="77777777" w:rsidR="000971F2" w:rsidRDefault="000971F2" w:rsidP="00B4582C">
      <w:pPr>
        <w:pStyle w:val="ListParagraph"/>
        <w:autoSpaceDE w:val="0"/>
        <w:autoSpaceDN w:val="0"/>
        <w:adjustRightInd w:val="0"/>
        <w:ind w:left="426"/>
        <w:rPr>
          <w:rFonts w:ascii="Arial" w:hAnsi="Arial" w:cs="Arial"/>
          <w:b/>
          <w:sz w:val="28"/>
        </w:rPr>
      </w:pPr>
    </w:p>
    <w:p w14:paraId="7800197E" w14:textId="3A73063F" w:rsidR="00B4582C" w:rsidRPr="00932C88" w:rsidRDefault="00C3530E" w:rsidP="00B4582C">
      <w:pPr>
        <w:pStyle w:val="ListParagraph"/>
        <w:autoSpaceDE w:val="0"/>
        <w:autoSpaceDN w:val="0"/>
        <w:adjustRightInd w:val="0"/>
        <w:ind w:left="426"/>
        <w:rPr>
          <w:rFonts w:ascii="Arial" w:hAnsi="Arial" w:cs="Arial"/>
          <w:b/>
        </w:rPr>
      </w:pPr>
      <w:r w:rsidRPr="00932C88">
        <w:rPr>
          <w:rFonts w:ascii="Arial" w:hAnsi="Arial" w:cs="Arial"/>
          <w:b/>
        </w:rPr>
        <w:t>Health System</w:t>
      </w:r>
      <w:r w:rsidR="004E5942" w:rsidRPr="00932C88">
        <w:rPr>
          <w:rFonts w:ascii="Arial" w:hAnsi="Arial" w:cs="Arial"/>
          <w:b/>
        </w:rPr>
        <w:t xml:space="preserve"> </w:t>
      </w:r>
      <w:r w:rsidRPr="00932C88">
        <w:rPr>
          <w:rFonts w:ascii="Arial" w:hAnsi="Arial" w:cs="Arial"/>
          <w:b/>
        </w:rPr>
        <w:t>L</w:t>
      </w:r>
      <w:r w:rsidR="00B4582C" w:rsidRPr="00932C88">
        <w:rPr>
          <w:rFonts w:ascii="Arial" w:hAnsi="Arial" w:cs="Arial"/>
          <w:b/>
        </w:rPr>
        <w:t xml:space="preserve">ed </w:t>
      </w:r>
      <w:r w:rsidRPr="00932C88">
        <w:rPr>
          <w:rFonts w:ascii="Arial" w:hAnsi="Arial" w:cs="Arial"/>
          <w:b/>
        </w:rPr>
        <w:t>I</w:t>
      </w:r>
      <w:r w:rsidR="00B4582C" w:rsidRPr="00932C88">
        <w:rPr>
          <w:rFonts w:ascii="Arial" w:hAnsi="Arial" w:cs="Arial"/>
          <w:b/>
        </w:rPr>
        <w:t>nvestment</w:t>
      </w:r>
    </w:p>
    <w:p w14:paraId="36DEE046" w14:textId="77777777" w:rsidR="00B4582C" w:rsidRPr="004250BF" w:rsidRDefault="00B4582C" w:rsidP="00B4582C">
      <w:pPr>
        <w:pStyle w:val="ListParagraph"/>
        <w:autoSpaceDE w:val="0"/>
        <w:autoSpaceDN w:val="0"/>
        <w:adjustRightInd w:val="0"/>
        <w:ind w:left="426"/>
        <w:rPr>
          <w:rFonts w:ascii="Arial" w:hAnsi="Arial" w:cs="Arial"/>
          <w:b/>
          <w:sz w:val="28"/>
        </w:rPr>
      </w:pPr>
    </w:p>
    <w:p w14:paraId="1F4EADAE" w14:textId="77777777" w:rsidR="00B4582C" w:rsidRPr="00C3530E" w:rsidRDefault="00B4582C" w:rsidP="00B05A0F">
      <w:pPr>
        <w:pStyle w:val="ListParagraph"/>
        <w:numPr>
          <w:ilvl w:val="1"/>
          <w:numId w:val="63"/>
        </w:numPr>
        <w:autoSpaceDE w:val="0"/>
        <w:autoSpaceDN w:val="0"/>
        <w:adjustRightInd w:val="0"/>
        <w:rPr>
          <w:rFonts w:ascii="Arial" w:hAnsi="Arial" w:cs="Arial"/>
        </w:rPr>
      </w:pPr>
      <w:r>
        <w:rPr>
          <w:rFonts w:ascii="Arial" w:hAnsi="Arial" w:cs="Arial"/>
        </w:rPr>
        <w:t>Providers within an STP who receive provider digitisation funding will have direct obligations to NHS England, to be formalised through Funding Agreements, and administered through NHS England. STP</w:t>
      </w:r>
      <w:r w:rsidR="00243902">
        <w:rPr>
          <w:rFonts w:ascii="Arial" w:hAnsi="Arial" w:cs="Arial"/>
        </w:rPr>
        <w:t>/ICS</w:t>
      </w:r>
      <w:r>
        <w:rPr>
          <w:rFonts w:ascii="Arial" w:hAnsi="Arial" w:cs="Arial"/>
        </w:rPr>
        <w:t xml:space="preserve">s are expected to support the fulfilment of these provider obligations, which will encompass spending, reporting of progress and exceptions, record keeping, procurement, commitment to architectural and clinical safety standards, intellectual property rights, supplier contracting, acknowledgement, publicity and knowledge sharing. Awards may be withheld, reduced, suspended or required to be repaid if the obligations </w:t>
      </w:r>
      <w:r w:rsidRPr="00C3530E">
        <w:rPr>
          <w:rFonts w:ascii="Arial" w:hAnsi="Arial" w:cs="Arial"/>
        </w:rPr>
        <w:t>are not met.</w:t>
      </w:r>
    </w:p>
    <w:p w14:paraId="2869B44B" w14:textId="77777777" w:rsidR="00B4582C" w:rsidRPr="00C3530E" w:rsidRDefault="00B4582C" w:rsidP="00B4582C">
      <w:pPr>
        <w:pStyle w:val="ListParagraph"/>
        <w:rPr>
          <w:rFonts w:ascii="Arial" w:hAnsi="Arial" w:cs="Arial"/>
        </w:rPr>
      </w:pPr>
    </w:p>
    <w:p w14:paraId="7A36710B" w14:textId="0C5BD18C" w:rsidR="00AC2961" w:rsidRPr="00C3530E" w:rsidRDefault="00AC2961" w:rsidP="00B05A0F">
      <w:pPr>
        <w:pStyle w:val="ListParagraph"/>
        <w:numPr>
          <w:ilvl w:val="1"/>
          <w:numId w:val="63"/>
        </w:numPr>
        <w:autoSpaceDE w:val="0"/>
        <w:autoSpaceDN w:val="0"/>
        <w:adjustRightInd w:val="0"/>
        <w:rPr>
          <w:rFonts w:ascii="Arial" w:hAnsi="Arial" w:cs="Arial"/>
        </w:rPr>
      </w:pPr>
      <w:r w:rsidRPr="00C3530E">
        <w:rPr>
          <w:rFonts w:ascii="Arial" w:hAnsi="Arial" w:cs="Arial"/>
        </w:rPr>
        <w:t>Informed by provider reporting of spending, progress and benefits, STP</w:t>
      </w:r>
      <w:r w:rsidR="00243902">
        <w:rPr>
          <w:rFonts w:ascii="Arial" w:hAnsi="Arial" w:cs="Arial"/>
        </w:rPr>
        <w:t>/ICS</w:t>
      </w:r>
      <w:r w:rsidRPr="00C3530E">
        <w:rPr>
          <w:rFonts w:ascii="Arial" w:hAnsi="Arial" w:cs="Arial"/>
        </w:rPr>
        <w:t xml:space="preserve">s should play a role in assuring funded projects. </w:t>
      </w:r>
      <w:r w:rsidR="00742982">
        <w:rPr>
          <w:rFonts w:ascii="Arial" w:hAnsi="Arial" w:cs="Arial"/>
        </w:rPr>
        <w:t>NHS England</w:t>
      </w:r>
      <w:r w:rsidRPr="00C3530E">
        <w:rPr>
          <w:rFonts w:ascii="Arial" w:hAnsi="Arial" w:cs="Arial"/>
        </w:rPr>
        <w:t xml:space="preserve"> regional teams are likely to devolve much of this assurance to ICSs and the more advanced STP</w:t>
      </w:r>
      <w:r w:rsidR="00243902">
        <w:rPr>
          <w:rFonts w:ascii="Arial" w:hAnsi="Arial" w:cs="Arial"/>
        </w:rPr>
        <w:t>/ICS</w:t>
      </w:r>
      <w:r w:rsidRPr="00C3530E">
        <w:rPr>
          <w:rFonts w:ascii="Arial" w:hAnsi="Arial" w:cs="Arial"/>
        </w:rPr>
        <w:t>s, while retaining more of it for other STP</w:t>
      </w:r>
      <w:r w:rsidR="00243902">
        <w:rPr>
          <w:rFonts w:ascii="Arial" w:hAnsi="Arial" w:cs="Arial"/>
        </w:rPr>
        <w:t>/ICS</w:t>
      </w:r>
      <w:r w:rsidR="00243902" w:rsidRPr="00C3530E">
        <w:rPr>
          <w:rFonts w:ascii="Arial" w:hAnsi="Arial" w:cs="Arial"/>
        </w:rPr>
        <w:t xml:space="preserve"> </w:t>
      </w:r>
      <w:r w:rsidRPr="00C3530E">
        <w:rPr>
          <w:rFonts w:ascii="Arial" w:hAnsi="Arial" w:cs="Arial"/>
        </w:rPr>
        <w:t>s.</w:t>
      </w:r>
      <w:r w:rsidR="00595176" w:rsidRPr="00C3530E">
        <w:rPr>
          <w:rFonts w:ascii="Arial" w:hAnsi="Arial" w:cs="Arial"/>
        </w:rPr>
        <w:t xml:space="preserve"> A differentiated approach to assurance should be followed, based on the project risk level.</w:t>
      </w:r>
    </w:p>
    <w:p w14:paraId="159B9DFF" w14:textId="77777777" w:rsidR="00AC2961" w:rsidRPr="00AC2961" w:rsidRDefault="00AC2961" w:rsidP="00AC2961">
      <w:pPr>
        <w:pStyle w:val="ListParagraph"/>
        <w:rPr>
          <w:rFonts w:ascii="Arial" w:hAnsi="Arial" w:cs="Arial"/>
        </w:rPr>
      </w:pPr>
    </w:p>
    <w:p w14:paraId="0E0901CD" w14:textId="77777777" w:rsidR="00B4582C" w:rsidRDefault="00B4582C" w:rsidP="00B05A0F">
      <w:pPr>
        <w:pStyle w:val="ListParagraph"/>
        <w:numPr>
          <w:ilvl w:val="1"/>
          <w:numId w:val="63"/>
        </w:numPr>
        <w:autoSpaceDE w:val="0"/>
        <w:autoSpaceDN w:val="0"/>
        <w:adjustRightInd w:val="0"/>
        <w:rPr>
          <w:rFonts w:ascii="Arial" w:hAnsi="Arial" w:cs="Arial"/>
        </w:rPr>
      </w:pPr>
      <w:r>
        <w:rPr>
          <w:rFonts w:ascii="Arial" w:hAnsi="Arial" w:cs="Arial"/>
        </w:rPr>
        <w:t>Although lead providers for projects in the portfolio will be accountable for outcome delivery from their projects, STP</w:t>
      </w:r>
      <w:r w:rsidR="00243902">
        <w:rPr>
          <w:rFonts w:ascii="Arial" w:hAnsi="Arial" w:cs="Arial"/>
        </w:rPr>
        <w:t>/ICS</w:t>
      </w:r>
      <w:r>
        <w:rPr>
          <w:rFonts w:ascii="Arial" w:hAnsi="Arial" w:cs="Arial"/>
        </w:rPr>
        <w:t>s are expected to play a leading role in creating a benefit realisation strategy, potentially linked to the broader transformation programme. For example, for a saving of time for general ward nurses, influencing whether that should be realised as reduced agency spend, redeployment to other activities, or an increase in patient-facing activity.</w:t>
      </w:r>
    </w:p>
    <w:p w14:paraId="0A96D7DD" w14:textId="77777777" w:rsidR="00B4582C" w:rsidRDefault="00B4582C" w:rsidP="00B4582C">
      <w:pPr>
        <w:pStyle w:val="ListParagraph"/>
        <w:autoSpaceDE w:val="0"/>
        <w:autoSpaceDN w:val="0"/>
        <w:adjustRightInd w:val="0"/>
        <w:ind w:left="426"/>
        <w:rPr>
          <w:rFonts w:ascii="Arial" w:hAnsi="Arial" w:cs="Arial"/>
          <w:b/>
          <w:sz w:val="28"/>
        </w:rPr>
      </w:pPr>
    </w:p>
    <w:p w14:paraId="57E3EA36" w14:textId="64FAE5E6" w:rsidR="00B4582C" w:rsidRPr="00932C88" w:rsidRDefault="00D43130" w:rsidP="00B4582C">
      <w:pPr>
        <w:pStyle w:val="ListParagraph"/>
        <w:autoSpaceDE w:val="0"/>
        <w:autoSpaceDN w:val="0"/>
        <w:adjustRightInd w:val="0"/>
        <w:ind w:left="426"/>
        <w:rPr>
          <w:rFonts w:ascii="Arial" w:hAnsi="Arial" w:cs="Arial"/>
          <w:b/>
        </w:rPr>
      </w:pPr>
      <w:r w:rsidRPr="00932C88">
        <w:rPr>
          <w:rFonts w:ascii="Arial" w:hAnsi="Arial" w:cs="Arial"/>
          <w:b/>
        </w:rPr>
        <w:t>System-Level Leadership of the Digital Agenda</w:t>
      </w:r>
    </w:p>
    <w:p w14:paraId="5D9D0AE8" w14:textId="77777777" w:rsidR="00B4582C" w:rsidRPr="004250BF" w:rsidRDefault="00B4582C" w:rsidP="00B4582C">
      <w:pPr>
        <w:pStyle w:val="ListParagraph"/>
        <w:autoSpaceDE w:val="0"/>
        <w:autoSpaceDN w:val="0"/>
        <w:adjustRightInd w:val="0"/>
        <w:ind w:left="426"/>
        <w:rPr>
          <w:rFonts w:ascii="Arial" w:hAnsi="Arial" w:cs="Arial"/>
          <w:b/>
          <w:sz w:val="28"/>
        </w:rPr>
      </w:pPr>
    </w:p>
    <w:p w14:paraId="6CB858B2" w14:textId="77777777" w:rsidR="00A73722" w:rsidRDefault="00A73722" w:rsidP="00B05A0F">
      <w:pPr>
        <w:pStyle w:val="ListParagraph"/>
        <w:numPr>
          <w:ilvl w:val="1"/>
          <w:numId w:val="63"/>
        </w:numPr>
        <w:autoSpaceDE w:val="0"/>
        <w:autoSpaceDN w:val="0"/>
        <w:adjustRightInd w:val="0"/>
        <w:rPr>
          <w:rFonts w:ascii="Arial" w:hAnsi="Arial" w:cs="Arial"/>
        </w:rPr>
      </w:pPr>
      <w:r>
        <w:rPr>
          <w:rFonts w:ascii="Arial" w:hAnsi="Arial" w:cs="Arial"/>
        </w:rPr>
        <w:t>STP</w:t>
      </w:r>
      <w:r w:rsidR="00243902">
        <w:rPr>
          <w:rFonts w:ascii="Arial" w:hAnsi="Arial" w:cs="Arial"/>
        </w:rPr>
        <w:t>/ICS</w:t>
      </w:r>
      <w:r>
        <w:rPr>
          <w:rFonts w:ascii="Arial" w:hAnsi="Arial" w:cs="Arial"/>
        </w:rPr>
        <w:t xml:space="preserve">s are expected to be working towards effective system-level leadership and governance of the digital agenda. </w:t>
      </w:r>
      <w:r w:rsidR="00B4582C">
        <w:rPr>
          <w:rFonts w:ascii="Arial" w:hAnsi="Arial" w:cs="Arial"/>
        </w:rPr>
        <w:t xml:space="preserve">This </w:t>
      </w:r>
      <w:r>
        <w:rPr>
          <w:rFonts w:ascii="Arial" w:hAnsi="Arial" w:cs="Arial"/>
        </w:rPr>
        <w:t>may encompass: a strategy for convergence of infrastructure, services, systems and contracts; system-wide functions of a design authority, a PMO and clinical leadership; shared specialist resources; pooling of budgets; common approaches to development, project management, business change and delivery assurance; and system-wide career development and succession planning. The approach should also align with the broader STP transformation programme.</w:t>
      </w:r>
    </w:p>
    <w:p w14:paraId="772F8C83" w14:textId="77777777" w:rsidR="00A73722" w:rsidRDefault="00A73722" w:rsidP="00A73722">
      <w:pPr>
        <w:pStyle w:val="ListParagraph"/>
        <w:autoSpaceDE w:val="0"/>
        <w:autoSpaceDN w:val="0"/>
        <w:adjustRightInd w:val="0"/>
        <w:ind w:left="576"/>
        <w:rPr>
          <w:rFonts w:ascii="Arial" w:hAnsi="Arial" w:cs="Arial"/>
        </w:rPr>
      </w:pPr>
    </w:p>
    <w:p w14:paraId="7AD9AD13" w14:textId="77777777" w:rsidR="00E82113" w:rsidRDefault="00E82113">
      <w:pPr>
        <w:rPr>
          <w:rFonts w:ascii="Arial" w:eastAsia="Times New Roman" w:hAnsi="Arial" w:cs="Arial"/>
          <w:b/>
          <w:sz w:val="28"/>
          <w:szCs w:val="24"/>
          <w:lang w:eastAsia="en-GB"/>
        </w:rPr>
      </w:pPr>
      <w:r>
        <w:rPr>
          <w:rFonts w:ascii="Arial" w:hAnsi="Arial" w:cs="Arial"/>
          <w:b/>
          <w:sz w:val="28"/>
        </w:rPr>
        <w:br w:type="page"/>
      </w:r>
    </w:p>
    <w:p w14:paraId="762E7480" w14:textId="38ADB3DB" w:rsidR="000971F2" w:rsidRPr="00932C88" w:rsidRDefault="000971F2" w:rsidP="000971F2">
      <w:pPr>
        <w:pStyle w:val="ListParagraph"/>
        <w:autoSpaceDE w:val="0"/>
        <w:autoSpaceDN w:val="0"/>
        <w:adjustRightInd w:val="0"/>
        <w:ind w:left="426"/>
        <w:rPr>
          <w:rFonts w:ascii="Arial" w:hAnsi="Arial" w:cs="Arial"/>
          <w:b/>
        </w:rPr>
      </w:pPr>
      <w:r w:rsidRPr="00932C88">
        <w:rPr>
          <w:rFonts w:ascii="Arial" w:hAnsi="Arial" w:cs="Arial"/>
          <w:b/>
        </w:rPr>
        <w:lastRenderedPageBreak/>
        <w:t>Equality</w:t>
      </w:r>
    </w:p>
    <w:p w14:paraId="6F383687" w14:textId="77777777" w:rsidR="0024112C" w:rsidRPr="0024112C" w:rsidRDefault="0024112C" w:rsidP="0024112C">
      <w:pPr>
        <w:pStyle w:val="ListParagraph"/>
        <w:rPr>
          <w:rFonts w:ascii="Arial" w:hAnsi="Arial" w:cs="Arial"/>
        </w:rPr>
      </w:pPr>
    </w:p>
    <w:p w14:paraId="5A90C5C3" w14:textId="77777777" w:rsidR="00A73722" w:rsidRDefault="00A73722" w:rsidP="00B05A0F">
      <w:pPr>
        <w:pStyle w:val="ListParagraph"/>
        <w:numPr>
          <w:ilvl w:val="1"/>
          <w:numId w:val="63"/>
        </w:numPr>
        <w:autoSpaceDE w:val="0"/>
        <w:autoSpaceDN w:val="0"/>
        <w:adjustRightInd w:val="0"/>
        <w:rPr>
          <w:rFonts w:ascii="Arial" w:hAnsi="Arial" w:cs="Arial"/>
        </w:rPr>
      </w:pPr>
      <w:r>
        <w:rPr>
          <w:rFonts w:ascii="Arial" w:hAnsi="Arial" w:cs="Arial"/>
        </w:rPr>
        <w:t>STP</w:t>
      </w:r>
      <w:r w:rsidR="00243902">
        <w:rPr>
          <w:rFonts w:ascii="Arial" w:hAnsi="Arial" w:cs="Arial"/>
        </w:rPr>
        <w:t>/ICS</w:t>
      </w:r>
      <w:r>
        <w:rPr>
          <w:rFonts w:ascii="Arial" w:hAnsi="Arial" w:cs="Arial"/>
        </w:rPr>
        <w:t xml:space="preserve">s are expected to support compliance with the Equality Act 2010 and the Health and Social Care Act 2012 through overseeing the design of digital services and systems that are appropriate, accessible and meet the needs of diverse communities. </w:t>
      </w:r>
    </w:p>
    <w:p w14:paraId="7EFFB941" w14:textId="77777777" w:rsidR="000837F0" w:rsidRPr="000837F0" w:rsidRDefault="000837F0" w:rsidP="000837F0">
      <w:pPr>
        <w:pStyle w:val="ListParagraph"/>
        <w:rPr>
          <w:rFonts w:ascii="Arial" w:hAnsi="Arial" w:cs="Arial"/>
        </w:rPr>
      </w:pPr>
    </w:p>
    <w:p w14:paraId="3372F6A3" w14:textId="77777777" w:rsidR="00A73722" w:rsidRDefault="00A73722" w:rsidP="00B05A0F">
      <w:pPr>
        <w:pStyle w:val="ListParagraph"/>
        <w:numPr>
          <w:ilvl w:val="0"/>
          <w:numId w:val="63"/>
        </w:numPr>
        <w:autoSpaceDE w:val="0"/>
        <w:autoSpaceDN w:val="0"/>
        <w:adjustRightInd w:val="0"/>
        <w:rPr>
          <w:rFonts w:ascii="Arial" w:hAnsi="Arial" w:cs="Arial"/>
        </w:rPr>
        <w:sectPr w:rsidR="00A73722" w:rsidSect="00D52000">
          <w:headerReference w:type="default" r:id="rId12"/>
          <w:footerReference w:type="default" r:id="rId13"/>
          <w:headerReference w:type="first" r:id="rId14"/>
          <w:pgSz w:w="11906" w:h="16838"/>
          <w:pgMar w:top="1440" w:right="1440" w:bottom="1440" w:left="1440" w:header="708" w:footer="708" w:gutter="0"/>
          <w:cols w:space="708"/>
          <w:titlePg/>
          <w:docGrid w:linePitch="360"/>
        </w:sectPr>
      </w:pPr>
    </w:p>
    <w:p w14:paraId="5C6CA727" w14:textId="2493D828" w:rsidR="00D04F57" w:rsidRPr="00932C88" w:rsidRDefault="00D04F57" w:rsidP="00BC7C98">
      <w:pPr>
        <w:spacing w:after="0" w:line="240" w:lineRule="auto"/>
        <w:outlineLvl w:val="0"/>
        <w:rPr>
          <w:rFonts w:ascii="Arial" w:eastAsia="Times New Roman" w:hAnsi="Arial" w:cs="Arial"/>
          <w:b/>
          <w:bCs/>
          <w:color w:val="0072C6"/>
          <w:kern w:val="32"/>
          <w:sz w:val="28"/>
          <w:szCs w:val="32"/>
        </w:rPr>
      </w:pPr>
      <w:bookmarkStart w:id="16" w:name="_Toc521080046"/>
      <w:r w:rsidRPr="00932C88">
        <w:rPr>
          <w:rFonts w:ascii="Arial" w:eastAsia="Times New Roman" w:hAnsi="Arial" w:cs="Arial"/>
          <w:b/>
          <w:bCs/>
          <w:color w:val="0072C6"/>
          <w:kern w:val="32"/>
          <w:sz w:val="28"/>
          <w:szCs w:val="32"/>
        </w:rPr>
        <w:lastRenderedPageBreak/>
        <w:t xml:space="preserve">Annex A – </w:t>
      </w:r>
      <w:r w:rsidR="006A4F45" w:rsidRPr="00932C88">
        <w:rPr>
          <w:rFonts w:ascii="Arial" w:eastAsia="Times New Roman" w:hAnsi="Arial" w:cs="Arial"/>
          <w:b/>
          <w:bCs/>
          <w:color w:val="0072C6"/>
          <w:kern w:val="32"/>
          <w:sz w:val="28"/>
          <w:szCs w:val="32"/>
        </w:rPr>
        <w:t>Scoring guidelines</w:t>
      </w:r>
      <w:bookmarkEnd w:id="16"/>
    </w:p>
    <w:p w14:paraId="4F555823" w14:textId="77777777" w:rsidR="00D04F57" w:rsidRDefault="00D04F57" w:rsidP="00D04F57">
      <w:pPr>
        <w:pStyle w:val="ListParagraph"/>
        <w:autoSpaceDE w:val="0"/>
        <w:autoSpaceDN w:val="0"/>
        <w:adjustRightInd w:val="0"/>
        <w:ind w:left="576"/>
        <w:rPr>
          <w:rFonts w:ascii="Arial" w:hAnsi="Arial" w:cs="Arial"/>
        </w:rPr>
      </w:pPr>
    </w:p>
    <w:tbl>
      <w:tblPr>
        <w:tblStyle w:val="TableGrid6"/>
        <w:tblW w:w="0" w:type="auto"/>
        <w:tblLook w:val="04A0" w:firstRow="1" w:lastRow="0" w:firstColumn="1" w:lastColumn="0" w:noHBand="0" w:noVBand="1"/>
      </w:tblPr>
      <w:tblGrid>
        <w:gridCol w:w="1809"/>
        <w:gridCol w:w="9072"/>
        <w:gridCol w:w="2835"/>
      </w:tblGrid>
      <w:tr w:rsidR="007F19B7" w:rsidRPr="007F19B7" w14:paraId="5FDA5C58" w14:textId="77777777" w:rsidTr="006749A8">
        <w:tc>
          <w:tcPr>
            <w:tcW w:w="1809" w:type="dxa"/>
          </w:tcPr>
          <w:p w14:paraId="18230FCF" w14:textId="77777777" w:rsidR="007F19B7" w:rsidRPr="007F19B7" w:rsidRDefault="007F19B7" w:rsidP="007F19B7">
            <w:pPr>
              <w:rPr>
                <w:rFonts w:ascii="Arial" w:hAnsi="Arial" w:cs="Arial"/>
                <w:b/>
                <w:sz w:val="24"/>
                <w:szCs w:val="24"/>
              </w:rPr>
            </w:pPr>
            <w:r w:rsidRPr="007F19B7">
              <w:rPr>
                <w:rFonts w:ascii="Arial" w:hAnsi="Arial" w:cs="Arial"/>
                <w:b/>
                <w:sz w:val="24"/>
                <w:szCs w:val="24"/>
              </w:rPr>
              <w:t>Heading</w:t>
            </w:r>
          </w:p>
        </w:tc>
        <w:tc>
          <w:tcPr>
            <w:tcW w:w="9072" w:type="dxa"/>
          </w:tcPr>
          <w:p w14:paraId="14222A8E" w14:textId="77777777" w:rsidR="007F19B7" w:rsidRPr="007F19B7" w:rsidRDefault="007F19B7" w:rsidP="007F19B7">
            <w:pPr>
              <w:rPr>
                <w:rFonts w:ascii="Arial" w:hAnsi="Arial" w:cs="Arial"/>
                <w:b/>
                <w:sz w:val="24"/>
                <w:szCs w:val="24"/>
              </w:rPr>
            </w:pPr>
            <w:r w:rsidRPr="007F19B7">
              <w:rPr>
                <w:rFonts w:ascii="Arial" w:hAnsi="Arial" w:cs="Arial"/>
                <w:b/>
                <w:sz w:val="24"/>
                <w:szCs w:val="24"/>
              </w:rPr>
              <w:t>Criteria</w:t>
            </w:r>
          </w:p>
        </w:tc>
        <w:tc>
          <w:tcPr>
            <w:tcW w:w="2835" w:type="dxa"/>
          </w:tcPr>
          <w:p w14:paraId="7DC73F75" w14:textId="77777777" w:rsidR="007F19B7" w:rsidRPr="007F19B7" w:rsidRDefault="007F19B7" w:rsidP="007F19B7">
            <w:pPr>
              <w:rPr>
                <w:rFonts w:ascii="Arial" w:hAnsi="Arial" w:cs="Arial"/>
                <w:b/>
                <w:sz w:val="24"/>
                <w:szCs w:val="24"/>
              </w:rPr>
            </w:pPr>
            <w:r w:rsidRPr="007F19B7">
              <w:rPr>
                <w:rFonts w:ascii="Arial" w:hAnsi="Arial" w:cs="Arial"/>
                <w:b/>
                <w:sz w:val="24"/>
                <w:szCs w:val="24"/>
              </w:rPr>
              <w:t>Scoring</w:t>
            </w:r>
          </w:p>
        </w:tc>
      </w:tr>
      <w:tr w:rsidR="007F19B7" w:rsidRPr="007F19B7" w14:paraId="369C59EC" w14:textId="77777777" w:rsidTr="006749A8">
        <w:tc>
          <w:tcPr>
            <w:tcW w:w="1809" w:type="dxa"/>
          </w:tcPr>
          <w:p w14:paraId="57158B16" w14:textId="3B99BDA4" w:rsidR="007F19B7" w:rsidRPr="007F19B7" w:rsidRDefault="007F19B7" w:rsidP="007F19B7">
            <w:pPr>
              <w:rPr>
                <w:rFonts w:ascii="Arial" w:hAnsi="Arial" w:cs="Arial"/>
                <w:sz w:val="24"/>
                <w:szCs w:val="24"/>
              </w:rPr>
            </w:pPr>
            <w:r w:rsidRPr="007F19B7">
              <w:rPr>
                <w:rFonts w:ascii="Arial" w:hAnsi="Arial" w:cs="Arial"/>
                <w:sz w:val="24"/>
                <w:szCs w:val="24"/>
              </w:rPr>
              <w:t xml:space="preserve">Strategic alignment (ref. </w:t>
            </w:r>
            <w:r w:rsidR="006749A8">
              <w:rPr>
                <w:rFonts w:ascii="Arial" w:hAnsi="Arial" w:cs="Arial"/>
                <w:sz w:val="24"/>
                <w:szCs w:val="24"/>
              </w:rPr>
              <w:t>4</w:t>
            </w:r>
            <w:r w:rsidRPr="007F19B7">
              <w:rPr>
                <w:rFonts w:ascii="Arial" w:hAnsi="Arial" w:cs="Arial"/>
                <w:sz w:val="24"/>
                <w:szCs w:val="24"/>
              </w:rPr>
              <w:t>.5 of the Prospectus)</w:t>
            </w:r>
          </w:p>
        </w:tc>
        <w:tc>
          <w:tcPr>
            <w:tcW w:w="9072" w:type="dxa"/>
          </w:tcPr>
          <w:p w14:paraId="3D42901A" w14:textId="663CE744" w:rsidR="006749A8" w:rsidRDefault="006749A8" w:rsidP="007F19B7">
            <w:pPr>
              <w:numPr>
                <w:ilvl w:val="0"/>
                <w:numId w:val="58"/>
              </w:numPr>
              <w:ind w:left="176" w:hanging="142"/>
              <w:contextualSpacing/>
              <w:rPr>
                <w:rFonts w:ascii="Arial" w:hAnsi="Arial" w:cs="Arial"/>
                <w:sz w:val="24"/>
                <w:szCs w:val="24"/>
              </w:rPr>
            </w:pPr>
            <w:r>
              <w:rPr>
                <w:rFonts w:ascii="Arial" w:hAnsi="Arial" w:cs="Arial"/>
                <w:sz w:val="24"/>
                <w:szCs w:val="24"/>
              </w:rPr>
              <w:t>Strong alignment with the six national priorities for system digitisation</w:t>
            </w:r>
          </w:p>
          <w:p w14:paraId="7085B324" w14:textId="140D014A" w:rsidR="007F19B7" w:rsidRPr="007F19B7" w:rsidRDefault="007F19B7" w:rsidP="007F19B7">
            <w:pPr>
              <w:numPr>
                <w:ilvl w:val="0"/>
                <w:numId w:val="58"/>
              </w:numPr>
              <w:ind w:left="176" w:hanging="142"/>
              <w:contextualSpacing/>
              <w:rPr>
                <w:rFonts w:ascii="Arial" w:hAnsi="Arial" w:cs="Arial"/>
                <w:sz w:val="24"/>
                <w:szCs w:val="24"/>
              </w:rPr>
            </w:pPr>
            <w:r w:rsidRPr="007F19B7">
              <w:rPr>
                <w:rFonts w:ascii="Arial" w:hAnsi="Arial" w:cs="Arial"/>
                <w:sz w:val="24"/>
                <w:szCs w:val="24"/>
              </w:rPr>
              <w:t xml:space="preserve">Strong alignment with </w:t>
            </w:r>
            <w:r w:rsidR="006749A8">
              <w:rPr>
                <w:rFonts w:ascii="Arial" w:hAnsi="Arial" w:cs="Arial"/>
                <w:sz w:val="24"/>
                <w:szCs w:val="24"/>
              </w:rPr>
              <w:t>system</w:t>
            </w:r>
            <w:r w:rsidR="006749A8" w:rsidRPr="007F19B7">
              <w:rPr>
                <w:rFonts w:ascii="Arial" w:hAnsi="Arial" w:cs="Arial"/>
                <w:sz w:val="24"/>
                <w:szCs w:val="24"/>
              </w:rPr>
              <w:t xml:space="preserve"> </w:t>
            </w:r>
            <w:r w:rsidRPr="007F19B7">
              <w:rPr>
                <w:rFonts w:ascii="Arial" w:hAnsi="Arial" w:cs="Arial"/>
                <w:sz w:val="24"/>
                <w:szCs w:val="24"/>
              </w:rPr>
              <w:t>digital plans / performance targets</w:t>
            </w:r>
          </w:p>
          <w:p w14:paraId="54365859" w14:textId="51F73D03" w:rsidR="007F19B7" w:rsidRPr="007F19B7" w:rsidRDefault="007F19B7" w:rsidP="007F19B7">
            <w:pPr>
              <w:numPr>
                <w:ilvl w:val="0"/>
                <w:numId w:val="58"/>
              </w:numPr>
              <w:ind w:left="176" w:hanging="142"/>
              <w:contextualSpacing/>
              <w:rPr>
                <w:rFonts w:ascii="Arial" w:hAnsi="Arial" w:cs="Arial"/>
                <w:sz w:val="24"/>
                <w:szCs w:val="24"/>
              </w:rPr>
            </w:pPr>
            <w:r w:rsidRPr="007F19B7">
              <w:rPr>
                <w:rFonts w:ascii="Arial" w:hAnsi="Arial" w:cs="Arial"/>
                <w:sz w:val="24"/>
                <w:szCs w:val="24"/>
              </w:rPr>
              <w:t xml:space="preserve">Strong alignment with </w:t>
            </w:r>
            <w:r w:rsidR="006749A8">
              <w:rPr>
                <w:rFonts w:ascii="Arial" w:hAnsi="Arial" w:cs="Arial"/>
                <w:sz w:val="24"/>
                <w:szCs w:val="24"/>
              </w:rPr>
              <w:t>system</w:t>
            </w:r>
            <w:r w:rsidR="006749A8" w:rsidRPr="007F19B7">
              <w:rPr>
                <w:rFonts w:ascii="Arial" w:hAnsi="Arial" w:cs="Arial"/>
                <w:sz w:val="24"/>
                <w:szCs w:val="24"/>
              </w:rPr>
              <w:t xml:space="preserve"> </w:t>
            </w:r>
            <w:r w:rsidRPr="007F19B7">
              <w:rPr>
                <w:rFonts w:ascii="Arial" w:hAnsi="Arial" w:cs="Arial"/>
                <w:sz w:val="24"/>
                <w:szCs w:val="24"/>
              </w:rPr>
              <w:t>digital vision / strategy</w:t>
            </w:r>
          </w:p>
          <w:p w14:paraId="43E83A4E" w14:textId="14EC80B9" w:rsidR="007F19B7" w:rsidRPr="007F19B7" w:rsidRDefault="007F19B7" w:rsidP="007F19B7">
            <w:pPr>
              <w:numPr>
                <w:ilvl w:val="0"/>
                <w:numId w:val="58"/>
              </w:numPr>
              <w:ind w:left="176" w:hanging="142"/>
              <w:contextualSpacing/>
              <w:rPr>
                <w:rFonts w:ascii="Arial" w:hAnsi="Arial" w:cs="Arial"/>
                <w:sz w:val="24"/>
                <w:szCs w:val="24"/>
              </w:rPr>
            </w:pPr>
            <w:r w:rsidRPr="007F19B7">
              <w:rPr>
                <w:rFonts w:ascii="Arial" w:hAnsi="Arial" w:cs="Arial"/>
                <w:sz w:val="24"/>
                <w:szCs w:val="24"/>
              </w:rPr>
              <w:t xml:space="preserve">Strong alignment with other </w:t>
            </w:r>
            <w:r w:rsidR="006749A8">
              <w:rPr>
                <w:rFonts w:ascii="Arial" w:hAnsi="Arial" w:cs="Arial"/>
                <w:sz w:val="24"/>
                <w:szCs w:val="24"/>
              </w:rPr>
              <w:t>system</w:t>
            </w:r>
            <w:r w:rsidR="006749A8" w:rsidRPr="007F19B7">
              <w:rPr>
                <w:rFonts w:ascii="Arial" w:hAnsi="Arial" w:cs="Arial"/>
                <w:sz w:val="24"/>
                <w:szCs w:val="24"/>
              </w:rPr>
              <w:t xml:space="preserve"> </w:t>
            </w:r>
            <w:r w:rsidRPr="007F19B7">
              <w:rPr>
                <w:rFonts w:ascii="Arial" w:hAnsi="Arial" w:cs="Arial"/>
                <w:sz w:val="24"/>
                <w:szCs w:val="24"/>
              </w:rPr>
              <w:t>plans / performance targets</w:t>
            </w:r>
          </w:p>
          <w:p w14:paraId="3F11925C" w14:textId="5012EA82" w:rsidR="007F19B7" w:rsidRPr="007F19B7" w:rsidRDefault="007F19B7" w:rsidP="006749A8">
            <w:pPr>
              <w:numPr>
                <w:ilvl w:val="0"/>
                <w:numId w:val="58"/>
              </w:numPr>
              <w:ind w:left="176" w:hanging="142"/>
              <w:contextualSpacing/>
              <w:rPr>
                <w:rFonts w:ascii="Arial" w:hAnsi="Arial" w:cs="Arial"/>
                <w:sz w:val="24"/>
                <w:szCs w:val="24"/>
              </w:rPr>
            </w:pPr>
            <w:r w:rsidRPr="007F19B7">
              <w:rPr>
                <w:rFonts w:ascii="Arial" w:hAnsi="Arial" w:cs="Arial"/>
                <w:sz w:val="24"/>
                <w:szCs w:val="24"/>
              </w:rPr>
              <w:t xml:space="preserve">Strong alignment with other </w:t>
            </w:r>
            <w:r w:rsidR="006749A8">
              <w:rPr>
                <w:rFonts w:ascii="Arial" w:hAnsi="Arial" w:cs="Arial"/>
                <w:sz w:val="24"/>
                <w:szCs w:val="24"/>
              </w:rPr>
              <w:t>system</w:t>
            </w:r>
            <w:r w:rsidR="006749A8" w:rsidRPr="007F19B7">
              <w:rPr>
                <w:rFonts w:ascii="Arial" w:hAnsi="Arial" w:cs="Arial"/>
                <w:sz w:val="24"/>
                <w:szCs w:val="24"/>
              </w:rPr>
              <w:t xml:space="preserve"> </w:t>
            </w:r>
            <w:r w:rsidRPr="007F19B7">
              <w:rPr>
                <w:rFonts w:ascii="Arial" w:hAnsi="Arial" w:cs="Arial"/>
                <w:sz w:val="24"/>
                <w:szCs w:val="24"/>
              </w:rPr>
              <w:t>vision / strategy</w:t>
            </w:r>
          </w:p>
        </w:tc>
        <w:tc>
          <w:tcPr>
            <w:tcW w:w="2835" w:type="dxa"/>
          </w:tcPr>
          <w:p w14:paraId="2028ACF7" w14:textId="77777777" w:rsidR="007F19B7" w:rsidRPr="007F19B7" w:rsidRDefault="007F19B7" w:rsidP="007F19B7">
            <w:pPr>
              <w:rPr>
                <w:rFonts w:ascii="Arial" w:hAnsi="Arial" w:cs="Arial"/>
                <w:sz w:val="24"/>
                <w:szCs w:val="24"/>
              </w:rPr>
            </w:pPr>
            <w:r w:rsidRPr="007F19B7">
              <w:rPr>
                <w:rFonts w:ascii="Arial" w:hAnsi="Arial" w:cs="Arial"/>
                <w:sz w:val="24"/>
                <w:szCs w:val="24"/>
              </w:rPr>
              <w:t>4: fully meets</w:t>
            </w:r>
          </w:p>
          <w:p w14:paraId="53803587" w14:textId="77777777" w:rsidR="007F19B7" w:rsidRPr="007F19B7" w:rsidRDefault="007F19B7" w:rsidP="007F19B7">
            <w:pPr>
              <w:rPr>
                <w:rFonts w:ascii="Arial" w:hAnsi="Arial" w:cs="Arial"/>
                <w:sz w:val="24"/>
                <w:szCs w:val="24"/>
              </w:rPr>
            </w:pPr>
            <w:r w:rsidRPr="007F19B7">
              <w:rPr>
                <w:rFonts w:ascii="Arial" w:hAnsi="Arial" w:cs="Arial"/>
                <w:sz w:val="24"/>
                <w:szCs w:val="24"/>
              </w:rPr>
              <w:t>3: mostly meets</w:t>
            </w:r>
          </w:p>
          <w:p w14:paraId="789265EA" w14:textId="77777777" w:rsidR="007F19B7" w:rsidRPr="007F19B7" w:rsidRDefault="007F19B7" w:rsidP="007F19B7">
            <w:pPr>
              <w:rPr>
                <w:rFonts w:ascii="Arial" w:hAnsi="Arial" w:cs="Arial"/>
                <w:sz w:val="24"/>
                <w:szCs w:val="24"/>
              </w:rPr>
            </w:pPr>
            <w:r w:rsidRPr="007F19B7">
              <w:rPr>
                <w:rFonts w:ascii="Arial" w:hAnsi="Arial" w:cs="Arial"/>
                <w:sz w:val="24"/>
                <w:szCs w:val="24"/>
              </w:rPr>
              <w:t>2: partially meets</w:t>
            </w:r>
          </w:p>
          <w:p w14:paraId="235CB51A" w14:textId="77777777" w:rsidR="007F19B7" w:rsidRPr="007F19B7" w:rsidRDefault="007F19B7" w:rsidP="007F19B7">
            <w:pPr>
              <w:rPr>
                <w:rFonts w:ascii="Arial" w:hAnsi="Arial" w:cs="Arial"/>
                <w:sz w:val="24"/>
                <w:szCs w:val="24"/>
              </w:rPr>
            </w:pPr>
            <w:r w:rsidRPr="007F19B7">
              <w:rPr>
                <w:rFonts w:ascii="Arial" w:hAnsi="Arial" w:cs="Arial"/>
                <w:sz w:val="24"/>
                <w:szCs w:val="24"/>
              </w:rPr>
              <w:t xml:space="preserve">1: mostly does not meet </w:t>
            </w:r>
          </w:p>
        </w:tc>
      </w:tr>
      <w:tr w:rsidR="007F19B7" w:rsidRPr="007F19B7" w14:paraId="5180DF5F" w14:textId="77777777" w:rsidTr="006749A8">
        <w:tc>
          <w:tcPr>
            <w:tcW w:w="1809" w:type="dxa"/>
          </w:tcPr>
          <w:p w14:paraId="27328468" w14:textId="00BB6B00" w:rsidR="007F19B7" w:rsidRPr="007F19B7" w:rsidRDefault="007F19B7" w:rsidP="007F19B7">
            <w:pPr>
              <w:rPr>
                <w:rFonts w:ascii="Arial" w:hAnsi="Arial" w:cs="Arial"/>
                <w:sz w:val="24"/>
                <w:szCs w:val="24"/>
              </w:rPr>
            </w:pPr>
            <w:r w:rsidRPr="007F19B7">
              <w:rPr>
                <w:rFonts w:ascii="Arial" w:hAnsi="Arial" w:cs="Arial"/>
                <w:sz w:val="24"/>
                <w:szCs w:val="24"/>
              </w:rPr>
              <w:t xml:space="preserve">Financial return on investment (ref. </w:t>
            </w:r>
            <w:r w:rsidR="006749A8">
              <w:rPr>
                <w:rFonts w:ascii="Arial" w:hAnsi="Arial" w:cs="Arial"/>
                <w:sz w:val="24"/>
                <w:szCs w:val="24"/>
              </w:rPr>
              <w:t>4</w:t>
            </w:r>
            <w:r w:rsidRPr="007F19B7">
              <w:rPr>
                <w:rFonts w:ascii="Arial" w:hAnsi="Arial" w:cs="Arial"/>
                <w:sz w:val="24"/>
                <w:szCs w:val="24"/>
              </w:rPr>
              <w:t>.6 of the Prospectus)</w:t>
            </w:r>
          </w:p>
        </w:tc>
        <w:tc>
          <w:tcPr>
            <w:tcW w:w="9072" w:type="dxa"/>
          </w:tcPr>
          <w:p w14:paraId="580E632B" w14:textId="77777777" w:rsidR="007F19B7" w:rsidRPr="007F19B7" w:rsidRDefault="007F19B7" w:rsidP="007F19B7">
            <w:pPr>
              <w:numPr>
                <w:ilvl w:val="0"/>
                <w:numId w:val="59"/>
              </w:numPr>
              <w:ind w:left="176" w:hanging="142"/>
              <w:contextualSpacing/>
              <w:rPr>
                <w:rFonts w:ascii="Arial" w:hAnsi="Arial" w:cs="Arial"/>
                <w:sz w:val="24"/>
                <w:szCs w:val="24"/>
              </w:rPr>
            </w:pPr>
            <w:r w:rsidRPr="007F19B7">
              <w:rPr>
                <w:rFonts w:ascii="Arial" w:hAnsi="Arial" w:cs="Arial"/>
                <w:sz w:val="24"/>
                <w:szCs w:val="24"/>
              </w:rPr>
              <w:t>Level of return projected &gt;= 20%</w:t>
            </w:r>
          </w:p>
          <w:p w14:paraId="3AFF5D36" w14:textId="77777777" w:rsidR="007F19B7" w:rsidRPr="007F19B7" w:rsidRDefault="007F19B7" w:rsidP="007F19B7">
            <w:pPr>
              <w:numPr>
                <w:ilvl w:val="0"/>
                <w:numId w:val="59"/>
              </w:numPr>
              <w:ind w:left="176" w:hanging="142"/>
              <w:contextualSpacing/>
              <w:rPr>
                <w:rFonts w:ascii="Arial" w:hAnsi="Arial" w:cs="Arial"/>
                <w:sz w:val="24"/>
                <w:szCs w:val="24"/>
              </w:rPr>
            </w:pPr>
            <w:r w:rsidRPr="007F19B7">
              <w:rPr>
                <w:rFonts w:ascii="Arial" w:hAnsi="Arial" w:cs="Arial"/>
                <w:sz w:val="24"/>
                <w:szCs w:val="24"/>
              </w:rPr>
              <w:t>Calculation for projected return clearly set out</w:t>
            </w:r>
          </w:p>
          <w:p w14:paraId="71A7AC5E" w14:textId="77777777" w:rsidR="007F19B7" w:rsidRPr="007F19B7" w:rsidRDefault="007F19B7" w:rsidP="007F19B7">
            <w:pPr>
              <w:numPr>
                <w:ilvl w:val="0"/>
                <w:numId w:val="59"/>
              </w:numPr>
              <w:ind w:left="176" w:hanging="142"/>
              <w:contextualSpacing/>
              <w:rPr>
                <w:rFonts w:ascii="Arial" w:hAnsi="Arial" w:cs="Arial"/>
                <w:sz w:val="24"/>
                <w:szCs w:val="24"/>
              </w:rPr>
            </w:pPr>
            <w:r w:rsidRPr="007F19B7">
              <w:rPr>
                <w:rFonts w:ascii="Arial" w:hAnsi="Arial" w:cs="Arial"/>
                <w:sz w:val="24"/>
                <w:szCs w:val="24"/>
              </w:rPr>
              <w:t>Sources of cash-releasing benefits identified</w:t>
            </w:r>
          </w:p>
          <w:p w14:paraId="488C847D" w14:textId="77777777" w:rsidR="007F19B7" w:rsidRPr="007F19B7" w:rsidRDefault="007F19B7" w:rsidP="007F19B7">
            <w:pPr>
              <w:numPr>
                <w:ilvl w:val="0"/>
                <w:numId w:val="59"/>
              </w:numPr>
              <w:ind w:left="176" w:hanging="142"/>
              <w:contextualSpacing/>
              <w:rPr>
                <w:rFonts w:ascii="Arial" w:hAnsi="Arial" w:cs="Arial"/>
                <w:sz w:val="24"/>
                <w:szCs w:val="24"/>
              </w:rPr>
            </w:pPr>
            <w:r w:rsidRPr="007F19B7">
              <w:rPr>
                <w:rFonts w:ascii="Arial" w:hAnsi="Arial" w:cs="Arial"/>
                <w:sz w:val="24"/>
                <w:szCs w:val="24"/>
              </w:rPr>
              <w:t>Strong evidence base for proposed solutions delivering significant returns</w:t>
            </w:r>
          </w:p>
        </w:tc>
        <w:tc>
          <w:tcPr>
            <w:tcW w:w="2835" w:type="dxa"/>
          </w:tcPr>
          <w:p w14:paraId="51C39071" w14:textId="77777777" w:rsidR="007F19B7" w:rsidRPr="007F19B7" w:rsidRDefault="007F19B7" w:rsidP="007F19B7">
            <w:pPr>
              <w:rPr>
                <w:rFonts w:ascii="Arial" w:hAnsi="Arial" w:cs="Arial"/>
                <w:sz w:val="24"/>
                <w:szCs w:val="24"/>
              </w:rPr>
            </w:pPr>
            <w:r w:rsidRPr="007F19B7">
              <w:rPr>
                <w:rFonts w:ascii="Arial" w:hAnsi="Arial" w:cs="Arial"/>
                <w:sz w:val="24"/>
                <w:szCs w:val="24"/>
              </w:rPr>
              <w:t xml:space="preserve">4: fully meets </w:t>
            </w:r>
          </w:p>
          <w:p w14:paraId="56892181" w14:textId="77777777" w:rsidR="007F19B7" w:rsidRPr="007F19B7" w:rsidRDefault="007F19B7" w:rsidP="007F19B7">
            <w:pPr>
              <w:rPr>
                <w:rFonts w:ascii="Arial" w:hAnsi="Arial" w:cs="Arial"/>
                <w:sz w:val="24"/>
                <w:szCs w:val="24"/>
              </w:rPr>
            </w:pPr>
            <w:r w:rsidRPr="007F19B7">
              <w:rPr>
                <w:rFonts w:ascii="Arial" w:hAnsi="Arial" w:cs="Arial"/>
                <w:sz w:val="24"/>
                <w:szCs w:val="24"/>
              </w:rPr>
              <w:t>3: mostly meets</w:t>
            </w:r>
          </w:p>
          <w:p w14:paraId="65D745A0" w14:textId="77777777" w:rsidR="007F19B7" w:rsidRPr="007F19B7" w:rsidRDefault="007F19B7" w:rsidP="007F19B7">
            <w:pPr>
              <w:rPr>
                <w:rFonts w:ascii="Arial" w:hAnsi="Arial" w:cs="Arial"/>
                <w:sz w:val="24"/>
                <w:szCs w:val="24"/>
              </w:rPr>
            </w:pPr>
            <w:r w:rsidRPr="007F19B7">
              <w:rPr>
                <w:rFonts w:ascii="Arial" w:hAnsi="Arial" w:cs="Arial"/>
                <w:sz w:val="24"/>
                <w:szCs w:val="24"/>
              </w:rPr>
              <w:t>2: partially meets</w:t>
            </w:r>
          </w:p>
          <w:p w14:paraId="0E96FD52" w14:textId="77777777" w:rsidR="007F19B7" w:rsidRPr="007F19B7" w:rsidRDefault="007F19B7" w:rsidP="007F19B7">
            <w:pPr>
              <w:rPr>
                <w:rFonts w:ascii="Arial" w:hAnsi="Arial" w:cs="Arial"/>
                <w:sz w:val="24"/>
                <w:szCs w:val="24"/>
              </w:rPr>
            </w:pPr>
            <w:r w:rsidRPr="007F19B7">
              <w:rPr>
                <w:rFonts w:ascii="Arial" w:hAnsi="Arial" w:cs="Arial"/>
                <w:sz w:val="24"/>
                <w:szCs w:val="24"/>
              </w:rPr>
              <w:t>1: mostly does not meet</w:t>
            </w:r>
          </w:p>
        </w:tc>
      </w:tr>
      <w:tr w:rsidR="007F19B7" w:rsidRPr="007F19B7" w14:paraId="0E943A5F" w14:textId="77777777" w:rsidTr="006749A8">
        <w:tc>
          <w:tcPr>
            <w:tcW w:w="1809" w:type="dxa"/>
          </w:tcPr>
          <w:p w14:paraId="58061C46" w14:textId="31049673" w:rsidR="007F19B7" w:rsidRPr="007F19B7" w:rsidRDefault="007F19B7" w:rsidP="007F19B7">
            <w:pPr>
              <w:rPr>
                <w:rFonts w:ascii="Arial" w:hAnsi="Arial" w:cs="Arial"/>
                <w:sz w:val="24"/>
                <w:szCs w:val="24"/>
              </w:rPr>
            </w:pPr>
            <w:r w:rsidRPr="007F19B7">
              <w:rPr>
                <w:rFonts w:ascii="Arial" w:hAnsi="Arial" w:cs="Arial"/>
                <w:sz w:val="24"/>
                <w:szCs w:val="24"/>
              </w:rPr>
              <w:t xml:space="preserve">Broader value considerations (ref. </w:t>
            </w:r>
            <w:r w:rsidR="006749A8">
              <w:rPr>
                <w:rFonts w:ascii="Arial" w:hAnsi="Arial" w:cs="Arial"/>
                <w:sz w:val="24"/>
                <w:szCs w:val="24"/>
              </w:rPr>
              <w:t>4</w:t>
            </w:r>
            <w:r w:rsidRPr="007F19B7">
              <w:rPr>
                <w:rFonts w:ascii="Arial" w:hAnsi="Arial" w:cs="Arial"/>
                <w:sz w:val="24"/>
                <w:szCs w:val="24"/>
              </w:rPr>
              <w:t>.7 of the Prospectus)</w:t>
            </w:r>
          </w:p>
        </w:tc>
        <w:tc>
          <w:tcPr>
            <w:tcW w:w="9072" w:type="dxa"/>
          </w:tcPr>
          <w:p w14:paraId="7D777E52" w14:textId="77777777" w:rsidR="007F19B7" w:rsidRPr="007F19B7" w:rsidRDefault="007F19B7" w:rsidP="007F19B7">
            <w:pPr>
              <w:numPr>
                <w:ilvl w:val="0"/>
                <w:numId w:val="61"/>
              </w:numPr>
              <w:ind w:left="176" w:hanging="142"/>
              <w:contextualSpacing/>
              <w:rPr>
                <w:rFonts w:ascii="Arial" w:hAnsi="Arial" w:cs="Arial"/>
                <w:sz w:val="24"/>
                <w:szCs w:val="24"/>
              </w:rPr>
            </w:pPr>
            <w:r w:rsidRPr="007F19B7">
              <w:rPr>
                <w:rFonts w:ascii="Arial" w:hAnsi="Arial" w:cs="Arial"/>
                <w:sz w:val="24"/>
                <w:szCs w:val="24"/>
              </w:rPr>
              <w:t>Significant clinical outcomes, patient safety or patient experience benefits identified</w:t>
            </w:r>
          </w:p>
          <w:p w14:paraId="6C360845" w14:textId="77777777" w:rsidR="007F19B7" w:rsidRPr="007F19B7" w:rsidRDefault="007F19B7" w:rsidP="007F19B7">
            <w:pPr>
              <w:numPr>
                <w:ilvl w:val="0"/>
                <w:numId w:val="61"/>
              </w:numPr>
              <w:ind w:left="176" w:hanging="142"/>
              <w:contextualSpacing/>
              <w:rPr>
                <w:rFonts w:ascii="Arial" w:hAnsi="Arial" w:cs="Arial"/>
                <w:sz w:val="24"/>
                <w:szCs w:val="24"/>
              </w:rPr>
            </w:pPr>
            <w:r w:rsidRPr="007F19B7">
              <w:rPr>
                <w:rFonts w:ascii="Arial" w:hAnsi="Arial" w:cs="Arial"/>
                <w:sz w:val="24"/>
                <w:szCs w:val="24"/>
              </w:rPr>
              <w:t>Significant non-cash-releasing financial benefits identified</w:t>
            </w:r>
          </w:p>
          <w:p w14:paraId="6FE84243" w14:textId="77777777" w:rsidR="007F19B7" w:rsidRPr="007F19B7" w:rsidRDefault="007F19B7" w:rsidP="007F19B7">
            <w:pPr>
              <w:numPr>
                <w:ilvl w:val="0"/>
                <w:numId w:val="61"/>
              </w:numPr>
              <w:ind w:left="176" w:hanging="142"/>
              <w:contextualSpacing/>
              <w:rPr>
                <w:rFonts w:ascii="Arial" w:hAnsi="Arial" w:cs="Arial"/>
                <w:sz w:val="24"/>
                <w:szCs w:val="24"/>
              </w:rPr>
            </w:pPr>
            <w:r w:rsidRPr="007F19B7">
              <w:rPr>
                <w:rFonts w:ascii="Arial" w:hAnsi="Arial" w:cs="Arial"/>
                <w:sz w:val="24"/>
                <w:szCs w:val="24"/>
              </w:rPr>
              <w:t>Strong evidence base for proposed solutions delivering identified benefits</w:t>
            </w:r>
          </w:p>
          <w:p w14:paraId="3C4306A4" w14:textId="77777777" w:rsidR="007F19B7" w:rsidRPr="007F19B7" w:rsidRDefault="007F19B7" w:rsidP="007F19B7">
            <w:pPr>
              <w:numPr>
                <w:ilvl w:val="0"/>
                <w:numId w:val="61"/>
              </w:numPr>
              <w:ind w:left="176" w:hanging="142"/>
              <w:contextualSpacing/>
              <w:rPr>
                <w:rFonts w:ascii="Arial" w:hAnsi="Arial" w:cs="Arial"/>
                <w:sz w:val="24"/>
                <w:szCs w:val="24"/>
              </w:rPr>
            </w:pPr>
            <w:r w:rsidRPr="007F19B7">
              <w:rPr>
                <w:rFonts w:ascii="Arial" w:hAnsi="Arial" w:cs="Arial"/>
                <w:sz w:val="24"/>
                <w:szCs w:val="24"/>
              </w:rPr>
              <w:t>Significant proposals for leveraging value from the investment for others in the local health and care system</w:t>
            </w:r>
          </w:p>
        </w:tc>
        <w:tc>
          <w:tcPr>
            <w:tcW w:w="2835" w:type="dxa"/>
          </w:tcPr>
          <w:p w14:paraId="7262969E" w14:textId="77777777" w:rsidR="007F19B7" w:rsidRPr="007F19B7" w:rsidRDefault="007F19B7" w:rsidP="007F19B7">
            <w:pPr>
              <w:rPr>
                <w:rFonts w:ascii="Arial" w:hAnsi="Arial" w:cs="Arial"/>
                <w:sz w:val="24"/>
                <w:szCs w:val="24"/>
              </w:rPr>
            </w:pPr>
            <w:r w:rsidRPr="007F19B7">
              <w:rPr>
                <w:rFonts w:ascii="Arial" w:hAnsi="Arial" w:cs="Arial"/>
                <w:sz w:val="24"/>
                <w:szCs w:val="24"/>
              </w:rPr>
              <w:t>4: fully meets</w:t>
            </w:r>
          </w:p>
          <w:p w14:paraId="4B3931D2" w14:textId="77777777" w:rsidR="007F19B7" w:rsidRPr="007F19B7" w:rsidRDefault="007F19B7" w:rsidP="007F19B7">
            <w:pPr>
              <w:rPr>
                <w:rFonts w:ascii="Arial" w:hAnsi="Arial" w:cs="Arial"/>
                <w:sz w:val="24"/>
                <w:szCs w:val="24"/>
              </w:rPr>
            </w:pPr>
            <w:r w:rsidRPr="007F19B7">
              <w:rPr>
                <w:rFonts w:ascii="Arial" w:hAnsi="Arial" w:cs="Arial"/>
                <w:sz w:val="24"/>
                <w:szCs w:val="24"/>
              </w:rPr>
              <w:t>3: mostly meets</w:t>
            </w:r>
          </w:p>
          <w:p w14:paraId="6C391A08" w14:textId="77777777" w:rsidR="007F19B7" w:rsidRPr="007F19B7" w:rsidRDefault="007F19B7" w:rsidP="007F19B7">
            <w:pPr>
              <w:rPr>
                <w:rFonts w:ascii="Arial" w:hAnsi="Arial" w:cs="Arial"/>
                <w:sz w:val="24"/>
                <w:szCs w:val="24"/>
              </w:rPr>
            </w:pPr>
            <w:r w:rsidRPr="007F19B7">
              <w:rPr>
                <w:rFonts w:ascii="Arial" w:hAnsi="Arial" w:cs="Arial"/>
                <w:sz w:val="24"/>
                <w:szCs w:val="24"/>
              </w:rPr>
              <w:t>2: partially meets</w:t>
            </w:r>
          </w:p>
          <w:p w14:paraId="65A88F74" w14:textId="77777777" w:rsidR="007F19B7" w:rsidRPr="007F19B7" w:rsidRDefault="007F19B7" w:rsidP="007F19B7">
            <w:pPr>
              <w:rPr>
                <w:rFonts w:ascii="Arial" w:hAnsi="Arial" w:cs="Arial"/>
                <w:sz w:val="24"/>
                <w:szCs w:val="24"/>
              </w:rPr>
            </w:pPr>
            <w:r w:rsidRPr="007F19B7">
              <w:rPr>
                <w:rFonts w:ascii="Arial" w:hAnsi="Arial" w:cs="Arial"/>
                <w:sz w:val="24"/>
                <w:szCs w:val="24"/>
              </w:rPr>
              <w:t>1: mostly does not meet</w:t>
            </w:r>
          </w:p>
        </w:tc>
      </w:tr>
      <w:tr w:rsidR="007F19B7" w:rsidRPr="007F19B7" w14:paraId="1A7FCF24" w14:textId="77777777" w:rsidTr="006749A8">
        <w:tc>
          <w:tcPr>
            <w:tcW w:w="1809" w:type="dxa"/>
          </w:tcPr>
          <w:p w14:paraId="67901132" w14:textId="180C7D24" w:rsidR="007F19B7" w:rsidRPr="007F19B7" w:rsidRDefault="007F19B7" w:rsidP="007F19B7">
            <w:pPr>
              <w:rPr>
                <w:rFonts w:ascii="Arial" w:hAnsi="Arial" w:cs="Arial"/>
                <w:sz w:val="24"/>
                <w:szCs w:val="24"/>
              </w:rPr>
            </w:pPr>
            <w:r w:rsidRPr="007F19B7">
              <w:rPr>
                <w:rFonts w:ascii="Arial" w:hAnsi="Arial" w:cs="Arial"/>
                <w:sz w:val="24"/>
                <w:szCs w:val="24"/>
              </w:rPr>
              <w:t xml:space="preserve">Delivery confidence (ref. </w:t>
            </w:r>
            <w:r w:rsidR="006749A8">
              <w:rPr>
                <w:rFonts w:ascii="Arial" w:hAnsi="Arial" w:cs="Arial"/>
                <w:sz w:val="24"/>
                <w:szCs w:val="24"/>
              </w:rPr>
              <w:t>4</w:t>
            </w:r>
            <w:r w:rsidRPr="007F19B7">
              <w:rPr>
                <w:rFonts w:ascii="Arial" w:hAnsi="Arial" w:cs="Arial"/>
                <w:sz w:val="24"/>
                <w:szCs w:val="24"/>
              </w:rPr>
              <w:t>.8 of the Prospectus)</w:t>
            </w:r>
          </w:p>
        </w:tc>
        <w:tc>
          <w:tcPr>
            <w:tcW w:w="9072" w:type="dxa"/>
          </w:tcPr>
          <w:p w14:paraId="1CF09E55" w14:textId="77777777" w:rsidR="007F19B7" w:rsidRPr="007F19B7" w:rsidRDefault="007F19B7" w:rsidP="007F19B7">
            <w:pPr>
              <w:numPr>
                <w:ilvl w:val="0"/>
                <w:numId w:val="60"/>
              </w:numPr>
              <w:ind w:left="176" w:hanging="142"/>
              <w:contextualSpacing/>
              <w:rPr>
                <w:rFonts w:ascii="Arial" w:hAnsi="Arial" w:cs="Arial"/>
                <w:sz w:val="24"/>
                <w:szCs w:val="24"/>
              </w:rPr>
            </w:pPr>
            <w:r w:rsidRPr="007F19B7">
              <w:rPr>
                <w:rFonts w:ascii="Arial" w:hAnsi="Arial" w:cs="Arial"/>
                <w:sz w:val="24"/>
                <w:szCs w:val="24"/>
              </w:rPr>
              <w:t>Project</w:t>
            </w:r>
          </w:p>
          <w:p w14:paraId="55F6DD52" w14:textId="77777777" w:rsidR="007F19B7" w:rsidRPr="007F19B7" w:rsidRDefault="007F19B7" w:rsidP="006023A1">
            <w:pPr>
              <w:numPr>
                <w:ilvl w:val="1"/>
                <w:numId w:val="60"/>
              </w:numPr>
              <w:ind w:left="601" w:hanging="283"/>
              <w:contextualSpacing/>
              <w:rPr>
                <w:rFonts w:ascii="Arial" w:hAnsi="Arial" w:cs="Arial"/>
                <w:sz w:val="24"/>
                <w:szCs w:val="24"/>
              </w:rPr>
            </w:pPr>
            <w:r w:rsidRPr="007F19B7">
              <w:rPr>
                <w:rFonts w:ascii="Arial" w:hAnsi="Arial" w:cs="Arial"/>
                <w:sz w:val="24"/>
                <w:szCs w:val="24"/>
              </w:rPr>
              <w:t>Clear and credible plans and costings</w:t>
            </w:r>
          </w:p>
          <w:p w14:paraId="7A9586B3" w14:textId="77777777" w:rsidR="007F19B7" w:rsidRPr="007F19B7" w:rsidRDefault="007F19B7" w:rsidP="006023A1">
            <w:pPr>
              <w:numPr>
                <w:ilvl w:val="1"/>
                <w:numId w:val="60"/>
              </w:numPr>
              <w:ind w:left="601" w:hanging="283"/>
              <w:contextualSpacing/>
              <w:rPr>
                <w:rFonts w:ascii="Arial" w:hAnsi="Arial" w:cs="Arial"/>
                <w:sz w:val="24"/>
                <w:szCs w:val="24"/>
              </w:rPr>
            </w:pPr>
            <w:r w:rsidRPr="007F19B7">
              <w:rPr>
                <w:rFonts w:ascii="Arial" w:hAnsi="Arial" w:cs="Arial"/>
                <w:sz w:val="24"/>
                <w:szCs w:val="24"/>
              </w:rPr>
              <w:t xml:space="preserve">Clear procurement approach that will conclude within the </w:t>
            </w:r>
            <w:r w:rsidR="004B128D">
              <w:rPr>
                <w:rFonts w:ascii="Arial" w:hAnsi="Arial" w:cs="Arial"/>
                <w:sz w:val="24"/>
                <w:szCs w:val="24"/>
              </w:rPr>
              <w:t>a</w:t>
            </w:r>
            <w:r w:rsidRPr="007F19B7">
              <w:rPr>
                <w:rFonts w:ascii="Arial" w:hAnsi="Arial" w:cs="Arial"/>
                <w:sz w:val="24"/>
                <w:szCs w:val="24"/>
              </w:rPr>
              <w:t>ppropriate timescale</w:t>
            </w:r>
          </w:p>
          <w:p w14:paraId="555D8127" w14:textId="77777777" w:rsidR="007F19B7" w:rsidRPr="007F19B7" w:rsidRDefault="007F19B7" w:rsidP="006023A1">
            <w:pPr>
              <w:numPr>
                <w:ilvl w:val="1"/>
                <w:numId w:val="60"/>
              </w:numPr>
              <w:ind w:left="601" w:hanging="283"/>
              <w:contextualSpacing/>
              <w:rPr>
                <w:rFonts w:ascii="Arial" w:hAnsi="Arial" w:cs="Arial"/>
                <w:sz w:val="24"/>
                <w:szCs w:val="24"/>
              </w:rPr>
            </w:pPr>
            <w:r w:rsidRPr="007F19B7">
              <w:rPr>
                <w:rFonts w:ascii="Arial" w:hAnsi="Arial" w:cs="Arial"/>
                <w:sz w:val="24"/>
                <w:szCs w:val="24"/>
              </w:rPr>
              <w:t>Commitment to leveraging support from others</w:t>
            </w:r>
          </w:p>
          <w:p w14:paraId="7F30A662" w14:textId="77777777" w:rsidR="007F19B7" w:rsidRPr="007F19B7" w:rsidRDefault="007F19B7" w:rsidP="006023A1">
            <w:pPr>
              <w:numPr>
                <w:ilvl w:val="1"/>
                <w:numId w:val="60"/>
              </w:numPr>
              <w:ind w:left="601" w:hanging="283"/>
              <w:contextualSpacing/>
              <w:rPr>
                <w:rFonts w:ascii="Arial" w:hAnsi="Arial" w:cs="Arial"/>
                <w:sz w:val="24"/>
                <w:szCs w:val="24"/>
              </w:rPr>
            </w:pPr>
            <w:r w:rsidRPr="007F19B7">
              <w:rPr>
                <w:rFonts w:ascii="Arial" w:hAnsi="Arial" w:cs="Arial"/>
                <w:sz w:val="24"/>
                <w:szCs w:val="24"/>
              </w:rPr>
              <w:t>Low to moderate complexity</w:t>
            </w:r>
          </w:p>
          <w:p w14:paraId="086BE90D" w14:textId="77777777" w:rsidR="007F19B7" w:rsidRPr="007F19B7" w:rsidRDefault="007F19B7" w:rsidP="006023A1">
            <w:pPr>
              <w:numPr>
                <w:ilvl w:val="1"/>
                <w:numId w:val="60"/>
              </w:numPr>
              <w:ind w:left="601" w:hanging="283"/>
              <w:contextualSpacing/>
              <w:rPr>
                <w:rFonts w:ascii="Arial" w:hAnsi="Arial" w:cs="Arial"/>
                <w:sz w:val="24"/>
                <w:szCs w:val="24"/>
              </w:rPr>
            </w:pPr>
            <w:r w:rsidRPr="007F19B7">
              <w:rPr>
                <w:rFonts w:ascii="Arial" w:hAnsi="Arial" w:cs="Arial"/>
                <w:sz w:val="24"/>
                <w:szCs w:val="24"/>
              </w:rPr>
              <w:t>Fit for purpose underlying infrastructure</w:t>
            </w:r>
          </w:p>
          <w:p w14:paraId="2ED85D7B" w14:textId="77777777" w:rsidR="007F19B7" w:rsidRPr="007F19B7" w:rsidRDefault="007F19B7" w:rsidP="007F19B7">
            <w:pPr>
              <w:numPr>
                <w:ilvl w:val="0"/>
                <w:numId w:val="60"/>
              </w:numPr>
              <w:ind w:left="176" w:hanging="142"/>
              <w:contextualSpacing/>
              <w:rPr>
                <w:rFonts w:ascii="Arial" w:hAnsi="Arial" w:cs="Arial"/>
                <w:sz w:val="24"/>
                <w:szCs w:val="24"/>
              </w:rPr>
            </w:pPr>
            <w:r w:rsidRPr="007F19B7">
              <w:rPr>
                <w:rFonts w:ascii="Arial" w:hAnsi="Arial" w:cs="Arial"/>
                <w:sz w:val="24"/>
                <w:szCs w:val="24"/>
              </w:rPr>
              <w:t>Provider</w:t>
            </w:r>
          </w:p>
          <w:p w14:paraId="3D8715A5" w14:textId="77777777" w:rsidR="007F19B7" w:rsidRPr="007F19B7" w:rsidRDefault="007F19B7" w:rsidP="006023A1">
            <w:pPr>
              <w:numPr>
                <w:ilvl w:val="1"/>
                <w:numId w:val="60"/>
              </w:numPr>
              <w:ind w:left="601" w:hanging="283"/>
              <w:contextualSpacing/>
              <w:rPr>
                <w:rFonts w:ascii="Arial" w:hAnsi="Arial" w:cs="Arial"/>
                <w:sz w:val="24"/>
                <w:szCs w:val="24"/>
              </w:rPr>
            </w:pPr>
            <w:r w:rsidRPr="007F19B7">
              <w:rPr>
                <w:rFonts w:ascii="Arial" w:hAnsi="Arial" w:cs="Arial"/>
                <w:sz w:val="24"/>
                <w:szCs w:val="24"/>
              </w:rPr>
              <w:t xml:space="preserve">Strong informatics leadership </w:t>
            </w:r>
          </w:p>
          <w:p w14:paraId="02562C3E" w14:textId="77777777" w:rsidR="007F19B7" w:rsidRPr="007F19B7" w:rsidRDefault="007F19B7" w:rsidP="006023A1">
            <w:pPr>
              <w:numPr>
                <w:ilvl w:val="1"/>
                <w:numId w:val="60"/>
              </w:numPr>
              <w:ind w:left="601" w:hanging="283"/>
              <w:contextualSpacing/>
              <w:rPr>
                <w:rFonts w:ascii="Arial" w:hAnsi="Arial" w:cs="Arial"/>
                <w:sz w:val="24"/>
                <w:szCs w:val="24"/>
              </w:rPr>
            </w:pPr>
            <w:r w:rsidRPr="007F19B7">
              <w:rPr>
                <w:rFonts w:ascii="Arial" w:hAnsi="Arial" w:cs="Arial"/>
                <w:sz w:val="24"/>
                <w:szCs w:val="24"/>
              </w:rPr>
              <w:t xml:space="preserve">Strong clinical leadership </w:t>
            </w:r>
          </w:p>
          <w:p w14:paraId="3EEBFD12" w14:textId="77777777" w:rsidR="007F19B7" w:rsidRPr="007F19B7" w:rsidRDefault="007F19B7" w:rsidP="006023A1">
            <w:pPr>
              <w:numPr>
                <w:ilvl w:val="1"/>
                <w:numId w:val="60"/>
              </w:numPr>
              <w:ind w:left="601" w:hanging="283"/>
              <w:contextualSpacing/>
              <w:rPr>
                <w:rFonts w:ascii="Arial" w:hAnsi="Arial" w:cs="Arial"/>
                <w:sz w:val="24"/>
                <w:szCs w:val="24"/>
              </w:rPr>
            </w:pPr>
            <w:r w:rsidRPr="007F19B7">
              <w:rPr>
                <w:rFonts w:ascii="Arial" w:hAnsi="Arial" w:cs="Arial"/>
                <w:sz w:val="24"/>
                <w:szCs w:val="24"/>
              </w:rPr>
              <w:t>Mature project and programme management</w:t>
            </w:r>
          </w:p>
          <w:p w14:paraId="7E587E5E" w14:textId="77777777" w:rsidR="007F19B7" w:rsidRPr="007F19B7" w:rsidRDefault="007F19B7" w:rsidP="006023A1">
            <w:pPr>
              <w:numPr>
                <w:ilvl w:val="1"/>
                <w:numId w:val="60"/>
              </w:numPr>
              <w:ind w:left="601" w:hanging="283"/>
              <w:contextualSpacing/>
              <w:rPr>
                <w:rFonts w:ascii="Arial" w:hAnsi="Arial" w:cs="Arial"/>
                <w:sz w:val="24"/>
                <w:szCs w:val="24"/>
              </w:rPr>
            </w:pPr>
            <w:r w:rsidRPr="007F19B7">
              <w:rPr>
                <w:rFonts w:ascii="Arial" w:hAnsi="Arial" w:cs="Arial"/>
                <w:sz w:val="24"/>
                <w:szCs w:val="24"/>
              </w:rPr>
              <w:t>Track record of digitally enabled transformation</w:t>
            </w:r>
          </w:p>
        </w:tc>
        <w:tc>
          <w:tcPr>
            <w:tcW w:w="2835" w:type="dxa"/>
          </w:tcPr>
          <w:p w14:paraId="23F4E365" w14:textId="77777777" w:rsidR="007F19B7" w:rsidRPr="007F19B7" w:rsidRDefault="007F19B7" w:rsidP="007F19B7">
            <w:pPr>
              <w:rPr>
                <w:rFonts w:ascii="Arial" w:hAnsi="Arial" w:cs="Arial"/>
                <w:sz w:val="24"/>
                <w:szCs w:val="24"/>
              </w:rPr>
            </w:pPr>
            <w:r w:rsidRPr="007F19B7">
              <w:rPr>
                <w:rFonts w:ascii="Arial" w:hAnsi="Arial" w:cs="Arial"/>
                <w:sz w:val="24"/>
                <w:szCs w:val="24"/>
              </w:rPr>
              <w:t>4: fully meets</w:t>
            </w:r>
          </w:p>
          <w:p w14:paraId="04C46E4A" w14:textId="77777777" w:rsidR="007F19B7" w:rsidRPr="007F19B7" w:rsidRDefault="007F19B7" w:rsidP="007F19B7">
            <w:pPr>
              <w:rPr>
                <w:rFonts w:ascii="Arial" w:hAnsi="Arial" w:cs="Arial"/>
                <w:sz w:val="24"/>
                <w:szCs w:val="24"/>
              </w:rPr>
            </w:pPr>
            <w:r w:rsidRPr="007F19B7">
              <w:rPr>
                <w:rFonts w:ascii="Arial" w:hAnsi="Arial" w:cs="Arial"/>
                <w:sz w:val="24"/>
                <w:szCs w:val="24"/>
              </w:rPr>
              <w:t>3: mostly meets</w:t>
            </w:r>
          </w:p>
          <w:p w14:paraId="7EC7C321" w14:textId="77777777" w:rsidR="007F19B7" w:rsidRPr="007F19B7" w:rsidRDefault="007F19B7" w:rsidP="007F19B7">
            <w:pPr>
              <w:rPr>
                <w:rFonts w:ascii="Arial" w:hAnsi="Arial" w:cs="Arial"/>
                <w:sz w:val="24"/>
                <w:szCs w:val="24"/>
              </w:rPr>
            </w:pPr>
            <w:r w:rsidRPr="007F19B7">
              <w:rPr>
                <w:rFonts w:ascii="Arial" w:hAnsi="Arial" w:cs="Arial"/>
                <w:sz w:val="24"/>
                <w:szCs w:val="24"/>
              </w:rPr>
              <w:t>2: partially meets</w:t>
            </w:r>
          </w:p>
          <w:p w14:paraId="5095B64F" w14:textId="77777777" w:rsidR="007F19B7" w:rsidRPr="007F19B7" w:rsidRDefault="007F19B7" w:rsidP="007F19B7">
            <w:pPr>
              <w:rPr>
                <w:rFonts w:ascii="Arial" w:hAnsi="Arial" w:cs="Arial"/>
                <w:sz w:val="24"/>
                <w:szCs w:val="24"/>
              </w:rPr>
            </w:pPr>
            <w:r w:rsidRPr="007F19B7">
              <w:rPr>
                <w:rFonts w:ascii="Arial" w:hAnsi="Arial" w:cs="Arial"/>
                <w:sz w:val="24"/>
                <w:szCs w:val="24"/>
              </w:rPr>
              <w:t>1: mostly does not meet</w:t>
            </w:r>
          </w:p>
        </w:tc>
      </w:tr>
    </w:tbl>
    <w:p w14:paraId="22B0B828" w14:textId="3E40FEB1" w:rsidR="00D52000" w:rsidRDefault="00D52000" w:rsidP="00214FD1">
      <w:pPr>
        <w:rPr>
          <w:rFonts w:ascii="Arial" w:eastAsia="Times New Roman" w:hAnsi="Arial" w:cs="Arial"/>
          <w:b/>
          <w:bCs/>
          <w:color w:val="0072C6"/>
          <w:kern w:val="32"/>
          <w:sz w:val="24"/>
          <w:szCs w:val="32"/>
        </w:rPr>
      </w:pPr>
    </w:p>
    <w:sectPr w:rsidR="00D52000" w:rsidSect="00E82113">
      <w:pgSz w:w="16838" w:h="11906" w:orient="landscape"/>
      <w:pgMar w:top="1304" w:right="1304" w:bottom="1304" w:left="130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41B126" w15:done="0"/>
  <w15:commentEx w15:paraId="615BE30C" w15:done="0"/>
  <w15:commentEx w15:paraId="0C3CBFA8" w15:done="0"/>
  <w15:commentEx w15:paraId="2BD8B2DD" w15:done="0"/>
  <w15:commentEx w15:paraId="636178A9" w15:done="0"/>
  <w15:commentEx w15:paraId="4937E00E" w15:done="0"/>
  <w15:commentEx w15:paraId="02B1FD89" w15:done="0"/>
  <w15:commentEx w15:paraId="0B7E2DA2" w15:done="0"/>
  <w15:commentEx w15:paraId="0353D891" w15:done="0"/>
  <w15:commentEx w15:paraId="30B113C0" w15:done="0"/>
  <w15:commentEx w15:paraId="70058B76" w15:paraIdParent="30B113C0" w15:done="0"/>
  <w15:commentEx w15:paraId="4AACD1D2" w15:done="0"/>
  <w15:commentEx w15:paraId="43D51019" w15:paraIdParent="4AACD1D2" w15:done="0"/>
  <w15:commentEx w15:paraId="01B89A82" w15:done="0"/>
  <w15:commentEx w15:paraId="7D0BF526" w15:paraIdParent="01B89A82" w15:done="0"/>
  <w15:commentEx w15:paraId="1932E95B" w15:done="0"/>
  <w15:commentEx w15:paraId="04345AA1" w15:done="0"/>
  <w15:commentEx w15:paraId="5C65C0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41B126" w16cid:durableId="1F045819"/>
  <w16cid:commentId w16cid:paraId="615BE30C" w16cid:durableId="1F03FB98"/>
  <w16cid:commentId w16cid:paraId="0C3CBFA8" w16cid:durableId="1F04581B"/>
  <w16cid:commentId w16cid:paraId="2BD8B2DD" w16cid:durableId="1F04581C"/>
  <w16cid:commentId w16cid:paraId="636178A9" w16cid:durableId="1F04581D"/>
  <w16cid:commentId w16cid:paraId="4937E00E" w16cid:durableId="1F03FE66"/>
  <w16cid:commentId w16cid:paraId="02B1FD89" w16cid:durableId="1F04581F"/>
  <w16cid:commentId w16cid:paraId="0B7E2DA2" w16cid:durableId="1F03FEA0"/>
  <w16cid:commentId w16cid:paraId="0353D891" w16cid:durableId="1F045821"/>
  <w16cid:commentId w16cid:paraId="30B113C0" w16cid:durableId="1F02AA37"/>
  <w16cid:commentId w16cid:paraId="70058B76" w16cid:durableId="1F04016C"/>
  <w16cid:commentId w16cid:paraId="4AACD1D2" w16cid:durableId="1F02AA38"/>
  <w16cid:commentId w16cid:paraId="43D51019" w16cid:durableId="1F04019D"/>
  <w16cid:commentId w16cid:paraId="01B89A82" w16cid:durableId="1F02AA39"/>
  <w16cid:commentId w16cid:paraId="7D0BF526" w16cid:durableId="1F0401EB"/>
  <w16cid:commentId w16cid:paraId="1932E95B" w16cid:durableId="1F045828"/>
  <w16cid:commentId w16cid:paraId="04345AA1" w16cid:durableId="1F040225"/>
  <w16cid:commentId w16cid:paraId="5C65C0E1" w16cid:durableId="1F0458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E38BF" w14:textId="77777777" w:rsidR="002D7D65" w:rsidRDefault="002D7D65" w:rsidP="00AA4E23">
      <w:pPr>
        <w:spacing w:after="0" w:line="240" w:lineRule="auto"/>
      </w:pPr>
      <w:r>
        <w:separator/>
      </w:r>
    </w:p>
  </w:endnote>
  <w:endnote w:type="continuationSeparator" w:id="0">
    <w:p w14:paraId="29785F22" w14:textId="77777777" w:rsidR="002D7D65" w:rsidRDefault="002D7D65" w:rsidP="00AA4E23">
      <w:pPr>
        <w:spacing w:after="0" w:line="240" w:lineRule="auto"/>
      </w:pPr>
      <w:r>
        <w:continuationSeparator/>
      </w:r>
    </w:p>
  </w:endnote>
  <w:endnote w:type="continuationNotice" w:id="1">
    <w:p w14:paraId="67DD3979" w14:textId="77777777" w:rsidR="002D7D65" w:rsidRDefault="002D7D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Frutiger 45 Light">
    <w:altName w:val="Cambria"/>
    <w:panose1 w:val="00000000000000000000"/>
    <w:charset w:val="00"/>
    <w:family w:val="swiss"/>
    <w:notTrueType/>
    <w:pitch w:val="default"/>
    <w:sig w:usb0="00000003" w:usb1="00000000" w:usb2="00000000" w:usb3="00000000" w:csb0="00000001" w:csb1="00000000"/>
  </w:font>
  <w:font w:name="HGSMinchoE">
    <w:altName w:val="MS Gothic"/>
    <w:charset w:val="80"/>
    <w:family w:val="auto"/>
    <w:pitch w:val="variable"/>
    <w:sig w:usb0="00000000"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83271"/>
      <w:docPartObj>
        <w:docPartGallery w:val="Page Numbers (Bottom of Page)"/>
        <w:docPartUnique/>
      </w:docPartObj>
    </w:sdtPr>
    <w:sdtEndPr>
      <w:rPr>
        <w:noProof/>
      </w:rPr>
    </w:sdtEndPr>
    <w:sdtContent>
      <w:p w14:paraId="5B7BAE1A" w14:textId="6637BF31" w:rsidR="002D7D65" w:rsidRDefault="002D7D65">
        <w:pPr>
          <w:pStyle w:val="Footer"/>
          <w:jc w:val="center"/>
        </w:pPr>
        <w:r>
          <w:fldChar w:fldCharType="begin"/>
        </w:r>
        <w:r>
          <w:instrText xml:space="preserve"> PAGE   \* MERGEFORMAT </w:instrText>
        </w:r>
        <w:r>
          <w:fldChar w:fldCharType="separate"/>
        </w:r>
        <w:r w:rsidR="006C1F1E">
          <w:rPr>
            <w:noProof/>
          </w:rPr>
          <w:t>20</w:t>
        </w:r>
        <w:r>
          <w:rPr>
            <w:noProof/>
          </w:rPr>
          <w:fldChar w:fldCharType="end"/>
        </w:r>
      </w:p>
    </w:sdtContent>
  </w:sdt>
  <w:p w14:paraId="42056D40" w14:textId="77777777" w:rsidR="002D7D65" w:rsidRDefault="002D7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1C618" w14:textId="77777777" w:rsidR="002D7D65" w:rsidRDefault="002D7D65" w:rsidP="00AA4E23">
      <w:pPr>
        <w:spacing w:after="0" w:line="240" w:lineRule="auto"/>
      </w:pPr>
      <w:r>
        <w:separator/>
      </w:r>
    </w:p>
  </w:footnote>
  <w:footnote w:type="continuationSeparator" w:id="0">
    <w:p w14:paraId="3E593D92" w14:textId="77777777" w:rsidR="002D7D65" w:rsidRDefault="002D7D65" w:rsidP="00AA4E23">
      <w:pPr>
        <w:spacing w:after="0" w:line="240" w:lineRule="auto"/>
      </w:pPr>
      <w:r>
        <w:continuationSeparator/>
      </w:r>
    </w:p>
  </w:footnote>
  <w:footnote w:type="continuationNotice" w:id="1">
    <w:p w14:paraId="744EC544" w14:textId="77777777" w:rsidR="002D7D65" w:rsidRDefault="002D7D6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93824" w14:textId="599C9B65" w:rsidR="002D7D65" w:rsidRPr="004E2251" w:rsidRDefault="002D7D65" w:rsidP="001F5D19">
    <w:pPr>
      <w:pStyle w:val="Header"/>
      <w:jc w:val="center"/>
      <w:rPr>
        <w:rStyle w:val="Heading1Char"/>
        <w:rFonts w:ascii="Arial" w:hAnsi="Arial" w:cs="Arial"/>
        <w:sz w:val="24"/>
      </w:rPr>
    </w:pPr>
    <w:r>
      <w:rPr>
        <w:rStyle w:val="Heading1Char"/>
        <w:rFonts w:ascii="Arial" w:hAnsi="Arial" w:cs="Arial"/>
        <w:sz w:val="24"/>
      </w:rPr>
      <w:t>OFFICIAL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7767D" w14:textId="68025678" w:rsidR="002D7D65" w:rsidRPr="00214FD1" w:rsidRDefault="002D7D65" w:rsidP="00214FD1">
    <w:pPr>
      <w:pStyle w:val="Header"/>
      <w:jc w:val="center"/>
      <w:rPr>
        <w:rStyle w:val="Heading1Char"/>
        <w:rFonts w:ascii="Arial" w:hAnsi="Arial" w:cs="Arial"/>
        <w:sz w:val="24"/>
      </w:rPr>
    </w:pPr>
    <w:r w:rsidRPr="00214FD1">
      <w:rPr>
        <w:rStyle w:val="Heading1Char"/>
        <w:rFonts w:ascii="Arial" w:hAnsi="Arial" w:cs="Arial"/>
        <w:sz w:val="24"/>
      </w:rPr>
      <w:t>OFFICIAL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68E60A2"/>
    <w:lvl w:ilvl="0">
      <w:start w:val="1"/>
      <w:numFmt w:val="decimal"/>
      <w:pStyle w:val="ListNumber"/>
      <w:lvlText w:val="%1."/>
      <w:lvlJc w:val="left"/>
      <w:pPr>
        <w:tabs>
          <w:tab w:val="num" w:pos="360"/>
        </w:tabs>
        <w:ind w:left="360" w:hanging="360"/>
      </w:pPr>
    </w:lvl>
  </w:abstractNum>
  <w:abstractNum w:abstractNumId="1">
    <w:nsid w:val="FFFFFF89"/>
    <w:multiLevelType w:val="singleLevel"/>
    <w:tmpl w:val="38CC606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9D1D45"/>
    <w:multiLevelType w:val="hybridMultilevel"/>
    <w:tmpl w:val="0D66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C02FB7"/>
    <w:multiLevelType w:val="hybridMultilevel"/>
    <w:tmpl w:val="77FA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C76005"/>
    <w:multiLevelType w:val="hybridMultilevel"/>
    <w:tmpl w:val="D3866388"/>
    <w:lvl w:ilvl="0" w:tplc="C684713C">
      <w:start w:val="1"/>
      <w:numFmt w:val="bullet"/>
      <w:lvlText w:val="•"/>
      <w:lvlJc w:val="left"/>
      <w:pPr>
        <w:tabs>
          <w:tab w:val="num" w:pos="720"/>
        </w:tabs>
        <w:ind w:left="720" w:hanging="360"/>
      </w:pPr>
      <w:rPr>
        <w:rFonts w:ascii="Arial" w:hAnsi="Arial" w:hint="default"/>
      </w:rPr>
    </w:lvl>
    <w:lvl w:ilvl="1" w:tplc="8A46FF56" w:tentative="1">
      <w:start w:val="1"/>
      <w:numFmt w:val="bullet"/>
      <w:lvlText w:val="•"/>
      <w:lvlJc w:val="left"/>
      <w:pPr>
        <w:tabs>
          <w:tab w:val="num" w:pos="1440"/>
        </w:tabs>
        <w:ind w:left="1440" w:hanging="360"/>
      </w:pPr>
      <w:rPr>
        <w:rFonts w:ascii="Arial" w:hAnsi="Arial" w:hint="default"/>
      </w:rPr>
    </w:lvl>
    <w:lvl w:ilvl="2" w:tplc="4C223382" w:tentative="1">
      <w:start w:val="1"/>
      <w:numFmt w:val="bullet"/>
      <w:lvlText w:val="•"/>
      <w:lvlJc w:val="left"/>
      <w:pPr>
        <w:tabs>
          <w:tab w:val="num" w:pos="2160"/>
        </w:tabs>
        <w:ind w:left="2160" w:hanging="360"/>
      </w:pPr>
      <w:rPr>
        <w:rFonts w:ascii="Arial" w:hAnsi="Arial" w:hint="default"/>
      </w:rPr>
    </w:lvl>
    <w:lvl w:ilvl="3" w:tplc="60AC2366" w:tentative="1">
      <w:start w:val="1"/>
      <w:numFmt w:val="bullet"/>
      <w:lvlText w:val="•"/>
      <w:lvlJc w:val="left"/>
      <w:pPr>
        <w:tabs>
          <w:tab w:val="num" w:pos="2880"/>
        </w:tabs>
        <w:ind w:left="2880" w:hanging="360"/>
      </w:pPr>
      <w:rPr>
        <w:rFonts w:ascii="Arial" w:hAnsi="Arial" w:hint="default"/>
      </w:rPr>
    </w:lvl>
    <w:lvl w:ilvl="4" w:tplc="6492AFF6" w:tentative="1">
      <w:start w:val="1"/>
      <w:numFmt w:val="bullet"/>
      <w:lvlText w:val="•"/>
      <w:lvlJc w:val="left"/>
      <w:pPr>
        <w:tabs>
          <w:tab w:val="num" w:pos="3600"/>
        </w:tabs>
        <w:ind w:left="3600" w:hanging="360"/>
      </w:pPr>
      <w:rPr>
        <w:rFonts w:ascii="Arial" w:hAnsi="Arial" w:hint="default"/>
      </w:rPr>
    </w:lvl>
    <w:lvl w:ilvl="5" w:tplc="0A500134" w:tentative="1">
      <w:start w:val="1"/>
      <w:numFmt w:val="bullet"/>
      <w:lvlText w:val="•"/>
      <w:lvlJc w:val="left"/>
      <w:pPr>
        <w:tabs>
          <w:tab w:val="num" w:pos="4320"/>
        </w:tabs>
        <w:ind w:left="4320" w:hanging="360"/>
      </w:pPr>
      <w:rPr>
        <w:rFonts w:ascii="Arial" w:hAnsi="Arial" w:hint="default"/>
      </w:rPr>
    </w:lvl>
    <w:lvl w:ilvl="6" w:tplc="866A3B0E" w:tentative="1">
      <w:start w:val="1"/>
      <w:numFmt w:val="bullet"/>
      <w:lvlText w:val="•"/>
      <w:lvlJc w:val="left"/>
      <w:pPr>
        <w:tabs>
          <w:tab w:val="num" w:pos="5040"/>
        </w:tabs>
        <w:ind w:left="5040" w:hanging="360"/>
      </w:pPr>
      <w:rPr>
        <w:rFonts w:ascii="Arial" w:hAnsi="Arial" w:hint="default"/>
      </w:rPr>
    </w:lvl>
    <w:lvl w:ilvl="7" w:tplc="E9CCF0E0" w:tentative="1">
      <w:start w:val="1"/>
      <w:numFmt w:val="bullet"/>
      <w:lvlText w:val="•"/>
      <w:lvlJc w:val="left"/>
      <w:pPr>
        <w:tabs>
          <w:tab w:val="num" w:pos="5760"/>
        </w:tabs>
        <w:ind w:left="5760" w:hanging="360"/>
      </w:pPr>
      <w:rPr>
        <w:rFonts w:ascii="Arial" w:hAnsi="Arial" w:hint="default"/>
      </w:rPr>
    </w:lvl>
    <w:lvl w:ilvl="8" w:tplc="75AE000A" w:tentative="1">
      <w:start w:val="1"/>
      <w:numFmt w:val="bullet"/>
      <w:lvlText w:val="•"/>
      <w:lvlJc w:val="left"/>
      <w:pPr>
        <w:tabs>
          <w:tab w:val="num" w:pos="6480"/>
        </w:tabs>
        <w:ind w:left="6480" w:hanging="360"/>
      </w:pPr>
      <w:rPr>
        <w:rFonts w:ascii="Arial" w:hAnsi="Arial" w:hint="default"/>
      </w:rPr>
    </w:lvl>
  </w:abstractNum>
  <w:abstractNum w:abstractNumId="5">
    <w:nsid w:val="09D01863"/>
    <w:multiLevelType w:val="hybridMultilevel"/>
    <w:tmpl w:val="8C50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1075F2"/>
    <w:multiLevelType w:val="hybridMultilevel"/>
    <w:tmpl w:val="8E90C3EA"/>
    <w:lvl w:ilvl="0" w:tplc="08090001">
      <w:start w:val="1"/>
      <w:numFmt w:val="bullet"/>
      <w:lvlText w:val=""/>
      <w:lvlJc w:val="left"/>
      <w:pPr>
        <w:ind w:left="147" w:hanging="360"/>
      </w:pPr>
      <w:rPr>
        <w:rFonts w:ascii="Symbol" w:hAnsi="Symbol" w:hint="default"/>
      </w:rPr>
    </w:lvl>
    <w:lvl w:ilvl="1" w:tplc="08090003">
      <w:start w:val="1"/>
      <w:numFmt w:val="bullet"/>
      <w:lvlText w:val="o"/>
      <w:lvlJc w:val="left"/>
      <w:pPr>
        <w:ind w:left="867" w:hanging="360"/>
      </w:pPr>
      <w:rPr>
        <w:rFonts w:ascii="Courier New" w:hAnsi="Courier New" w:cs="Courier New" w:hint="default"/>
      </w:rPr>
    </w:lvl>
    <w:lvl w:ilvl="2" w:tplc="08090005" w:tentative="1">
      <w:start w:val="1"/>
      <w:numFmt w:val="bullet"/>
      <w:lvlText w:val=""/>
      <w:lvlJc w:val="left"/>
      <w:pPr>
        <w:ind w:left="1587" w:hanging="360"/>
      </w:pPr>
      <w:rPr>
        <w:rFonts w:ascii="Wingdings" w:hAnsi="Wingdings" w:hint="default"/>
      </w:rPr>
    </w:lvl>
    <w:lvl w:ilvl="3" w:tplc="08090001" w:tentative="1">
      <w:start w:val="1"/>
      <w:numFmt w:val="bullet"/>
      <w:lvlText w:val=""/>
      <w:lvlJc w:val="left"/>
      <w:pPr>
        <w:ind w:left="2307" w:hanging="360"/>
      </w:pPr>
      <w:rPr>
        <w:rFonts w:ascii="Symbol" w:hAnsi="Symbol" w:hint="default"/>
      </w:rPr>
    </w:lvl>
    <w:lvl w:ilvl="4" w:tplc="08090003" w:tentative="1">
      <w:start w:val="1"/>
      <w:numFmt w:val="bullet"/>
      <w:lvlText w:val="o"/>
      <w:lvlJc w:val="left"/>
      <w:pPr>
        <w:ind w:left="3027" w:hanging="360"/>
      </w:pPr>
      <w:rPr>
        <w:rFonts w:ascii="Courier New" w:hAnsi="Courier New" w:cs="Courier New" w:hint="default"/>
      </w:rPr>
    </w:lvl>
    <w:lvl w:ilvl="5" w:tplc="08090005" w:tentative="1">
      <w:start w:val="1"/>
      <w:numFmt w:val="bullet"/>
      <w:lvlText w:val=""/>
      <w:lvlJc w:val="left"/>
      <w:pPr>
        <w:ind w:left="3747" w:hanging="360"/>
      </w:pPr>
      <w:rPr>
        <w:rFonts w:ascii="Wingdings" w:hAnsi="Wingdings" w:hint="default"/>
      </w:rPr>
    </w:lvl>
    <w:lvl w:ilvl="6" w:tplc="08090001" w:tentative="1">
      <w:start w:val="1"/>
      <w:numFmt w:val="bullet"/>
      <w:lvlText w:val=""/>
      <w:lvlJc w:val="left"/>
      <w:pPr>
        <w:ind w:left="4467" w:hanging="360"/>
      </w:pPr>
      <w:rPr>
        <w:rFonts w:ascii="Symbol" w:hAnsi="Symbol" w:hint="default"/>
      </w:rPr>
    </w:lvl>
    <w:lvl w:ilvl="7" w:tplc="08090003" w:tentative="1">
      <w:start w:val="1"/>
      <w:numFmt w:val="bullet"/>
      <w:lvlText w:val="o"/>
      <w:lvlJc w:val="left"/>
      <w:pPr>
        <w:ind w:left="5187" w:hanging="360"/>
      </w:pPr>
      <w:rPr>
        <w:rFonts w:ascii="Courier New" w:hAnsi="Courier New" w:cs="Courier New" w:hint="default"/>
      </w:rPr>
    </w:lvl>
    <w:lvl w:ilvl="8" w:tplc="08090005" w:tentative="1">
      <w:start w:val="1"/>
      <w:numFmt w:val="bullet"/>
      <w:lvlText w:val=""/>
      <w:lvlJc w:val="left"/>
      <w:pPr>
        <w:ind w:left="5907" w:hanging="360"/>
      </w:pPr>
      <w:rPr>
        <w:rFonts w:ascii="Wingdings" w:hAnsi="Wingdings" w:hint="default"/>
      </w:rPr>
    </w:lvl>
  </w:abstractNum>
  <w:abstractNum w:abstractNumId="7">
    <w:nsid w:val="177B0034"/>
    <w:multiLevelType w:val="hybridMultilevel"/>
    <w:tmpl w:val="183C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9A63B8"/>
    <w:multiLevelType w:val="multilevel"/>
    <w:tmpl w:val="E4B0BB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DEB055A"/>
    <w:multiLevelType w:val="hybridMultilevel"/>
    <w:tmpl w:val="E65CD538"/>
    <w:lvl w:ilvl="0" w:tplc="77740BF4">
      <w:start w:val="1"/>
      <w:numFmt w:val="bullet"/>
      <w:lvlText w:val="•"/>
      <w:lvlJc w:val="left"/>
      <w:pPr>
        <w:tabs>
          <w:tab w:val="num" w:pos="720"/>
        </w:tabs>
        <w:ind w:left="720" w:hanging="360"/>
      </w:pPr>
      <w:rPr>
        <w:rFonts w:ascii="Arial" w:hAnsi="Arial" w:hint="default"/>
      </w:rPr>
    </w:lvl>
    <w:lvl w:ilvl="1" w:tplc="CE704B18" w:tentative="1">
      <w:start w:val="1"/>
      <w:numFmt w:val="bullet"/>
      <w:lvlText w:val="•"/>
      <w:lvlJc w:val="left"/>
      <w:pPr>
        <w:tabs>
          <w:tab w:val="num" w:pos="1440"/>
        </w:tabs>
        <w:ind w:left="1440" w:hanging="360"/>
      </w:pPr>
      <w:rPr>
        <w:rFonts w:ascii="Arial" w:hAnsi="Arial" w:hint="default"/>
      </w:rPr>
    </w:lvl>
    <w:lvl w:ilvl="2" w:tplc="677A20F4" w:tentative="1">
      <w:start w:val="1"/>
      <w:numFmt w:val="bullet"/>
      <w:lvlText w:val="•"/>
      <w:lvlJc w:val="left"/>
      <w:pPr>
        <w:tabs>
          <w:tab w:val="num" w:pos="2160"/>
        </w:tabs>
        <w:ind w:left="2160" w:hanging="360"/>
      </w:pPr>
      <w:rPr>
        <w:rFonts w:ascii="Arial" w:hAnsi="Arial" w:hint="default"/>
      </w:rPr>
    </w:lvl>
    <w:lvl w:ilvl="3" w:tplc="A7481786" w:tentative="1">
      <w:start w:val="1"/>
      <w:numFmt w:val="bullet"/>
      <w:lvlText w:val="•"/>
      <w:lvlJc w:val="left"/>
      <w:pPr>
        <w:tabs>
          <w:tab w:val="num" w:pos="2880"/>
        </w:tabs>
        <w:ind w:left="2880" w:hanging="360"/>
      </w:pPr>
      <w:rPr>
        <w:rFonts w:ascii="Arial" w:hAnsi="Arial" w:hint="default"/>
      </w:rPr>
    </w:lvl>
    <w:lvl w:ilvl="4" w:tplc="CA9A110A" w:tentative="1">
      <w:start w:val="1"/>
      <w:numFmt w:val="bullet"/>
      <w:lvlText w:val="•"/>
      <w:lvlJc w:val="left"/>
      <w:pPr>
        <w:tabs>
          <w:tab w:val="num" w:pos="3600"/>
        </w:tabs>
        <w:ind w:left="3600" w:hanging="360"/>
      </w:pPr>
      <w:rPr>
        <w:rFonts w:ascii="Arial" w:hAnsi="Arial" w:hint="default"/>
      </w:rPr>
    </w:lvl>
    <w:lvl w:ilvl="5" w:tplc="F3FEF964" w:tentative="1">
      <w:start w:val="1"/>
      <w:numFmt w:val="bullet"/>
      <w:lvlText w:val="•"/>
      <w:lvlJc w:val="left"/>
      <w:pPr>
        <w:tabs>
          <w:tab w:val="num" w:pos="4320"/>
        </w:tabs>
        <w:ind w:left="4320" w:hanging="360"/>
      </w:pPr>
      <w:rPr>
        <w:rFonts w:ascii="Arial" w:hAnsi="Arial" w:hint="default"/>
      </w:rPr>
    </w:lvl>
    <w:lvl w:ilvl="6" w:tplc="2A8E06CA" w:tentative="1">
      <w:start w:val="1"/>
      <w:numFmt w:val="bullet"/>
      <w:lvlText w:val="•"/>
      <w:lvlJc w:val="left"/>
      <w:pPr>
        <w:tabs>
          <w:tab w:val="num" w:pos="5040"/>
        </w:tabs>
        <w:ind w:left="5040" w:hanging="360"/>
      </w:pPr>
      <w:rPr>
        <w:rFonts w:ascii="Arial" w:hAnsi="Arial" w:hint="default"/>
      </w:rPr>
    </w:lvl>
    <w:lvl w:ilvl="7" w:tplc="EF286874" w:tentative="1">
      <w:start w:val="1"/>
      <w:numFmt w:val="bullet"/>
      <w:lvlText w:val="•"/>
      <w:lvlJc w:val="left"/>
      <w:pPr>
        <w:tabs>
          <w:tab w:val="num" w:pos="5760"/>
        </w:tabs>
        <w:ind w:left="5760" w:hanging="360"/>
      </w:pPr>
      <w:rPr>
        <w:rFonts w:ascii="Arial" w:hAnsi="Arial" w:hint="default"/>
      </w:rPr>
    </w:lvl>
    <w:lvl w:ilvl="8" w:tplc="B732AD9E" w:tentative="1">
      <w:start w:val="1"/>
      <w:numFmt w:val="bullet"/>
      <w:lvlText w:val="•"/>
      <w:lvlJc w:val="left"/>
      <w:pPr>
        <w:tabs>
          <w:tab w:val="num" w:pos="6480"/>
        </w:tabs>
        <w:ind w:left="6480" w:hanging="360"/>
      </w:pPr>
      <w:rPr>
        <w:rFonts w:ascii="Arial" w:hAnsi="Arial" w:hint="default"/>
      </w:rPr>
    </w:lvl>
  </w:abstractNum>
  <w:abstractNum w:abstractNumId="10">
    <w:nsid w:val="20A17C1D"/>
    <w:multiLevelType w:val="hybridMultilevel"/>
    <w:tmpl w:val="90E0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F61D7F"/>
    <w:multiLevelType w:val="hybridMultilevel"/>
    <w:tmpl w:val="A394E4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25C70EA6"/>
    <w:multiLevelType w:val="hybridMultilevel"/>
    <w:tmpl w:val="C0ECD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CD6284"/>
    <w:multiLevelType w:val="hybridMultilevel"/>
    <w:tmpl w:val="8132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E56DEC"/>
    <w:multiLevelType w:val="multilevel"/>
    <w:tmpl w:val="A79ED0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6430312"/>
    <w:multiLevelType w:val="hybridMultilevel"/>
    <w:tmpl w:val="FBFC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234F85"/>
    <w:multiLevelType w:val="hybridMultilevel"/>
    <w:tmpl w:val="AB7AD16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7">
    <w:nsid w:val="2A1A71A2"/>
    <w:multiLevelType w:val="hybridMultilevel"/>
    <w:tmpl w:val="4DD8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1E2987"/>
    <w:multiLevelType w:val="hybridMultilevel"/>
    <w:tmpl w:val="B2CE237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9">
    <w:nsid w:val="2F8E04C4"/>
    <w:multiLevelType w:val="hybridMultilevel"/>
    <w:tmpl w:val="DFC4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D46252"/>
    <w:multiLevelType w:val="hybridMultilevel"/>
    <w:tmpl w:val="409E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B63992"/>
    <w:multiLevelType w:val="hybridMultilevel"/>
    <w:tmpl w:val="AC76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2C1C7C"/>
    <w:multiLevelType w:val="multilevel"/>
    <w:tmpl w:val="E8FA5048"/>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39885E28"/>
    <w:multiLevelType w:val="hybridMultilevel"/>
    <w:tmpl w:val="D54C59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3A771D10"/>
    <w:multiLevelType w:val="hybridMultilevel"/>
    <w:tmpl w:val="3612D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D384B59"/>
    <w:multiLevelType w:val="hybridMultilevel"/>
    <w:tmpl w:val="C6C6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EBA1C9D"/>
    <w:multiLevelType w:val="hybridMultilevel"/>
    <w:tmpl w:val="C9066DB8"/>
    <w:lvl w:ilvl="0" w:tplc="AB2429A6">
      <w:start w:val="1"/>
      <w:numFmt w:val="bullet"/>
      <w:lvlText w:val="•"/>
      <w:lvlJc w:val="left"/>
      <w:pPr>
        <w:tabs>
          <w:tab w:val="num" w:pos="720"/>
        </w:tabs>
        <w:ind w:left="720" w:hanging="360"/>
      </w:pPr>
      <w:rPr>
        <w:rFonts w:ascii="Arial" w:hAnsi="Arial" w:hint="default"/>
      </w:rPr>
    </w:lvl>
    <w:lvl w:ilvl="1" w:tplc="48845FBE" w:tentative="1">
      <w:start w:val="1"/>
      <w:numFmt w:val="bullet"/>
      <w:lvlText w:val="•"/>
      <w:lvlJc w:val="left"/>
      <w:pPr>
        <w:tabs>
          <w:tab w:val="num" w:pos="1440"/>
        </w:tabs>
        <w:ind w:left="1440" w:hanging="360"/>
      </w:pPr>
      <w:rPr>
        <w:rFonts w:ascii="Arial" w:hAnsi="Arial" w:hint="default"/>
      </w:rPr>
    </w:lvl>
    <w:lvl w:ilvl="2" w:tplc="915AA0B6" w:tentative="1">
      <w:start w:val="1"/>
      <w:numFmt w:val="bullet"/>
      <w:lvlText w:val="•"/>
      <w:lvlJc w:val="left"/>
      <w:pPr>
        <w:tabs>
          <w:tab w:val="num" w:pos="2160"/>
        </w:tabs>
        <w:ind w:left="2160" w:hanging="360"/>
      </w:pPr>
      <w:rPr>
        <w:rFonts w:ascii="Arial" w:hAnsi="Arial" w:hint="default"/>
      </w:rPr>
    </w:lvl>
    <w:lvl w:ilvl="3" w:tplc="FBC6610E" w:tentative="1">
      <w:start w:val="1"/>
      <w:numFmt w:val="bullet"/>
      <w:lvlText w:val="•"/>
      <w:lvlJc w:val="left"/>
      <w:pPr>
        <w:tabs>
          <w:tab w:val="num" w:pos="2880"/>
        </w:tabs>
        <w:ind w:left="2880" w:hanging="360"/>
      </w:pPr>
      <w:rPr>
        <w:rFonts w:ascii="Arial" w:hAnsi="Arial" w:hint="default"/>
      </w:rPr>
    </w:lvl>
    <w:lvl w:ilvl="4" w:tplc="E578F160" w:tentative="1">
      <w:start w:val="1"/>
      <w:numFmt w:val="bullet"/>
      <w:lvlText w:val="•"/>
      <w:lvlJc w:val="left"/>
      <w:pPr>
        <w:tabs>
          <w:tab w:val="num" w:pos="3600"/>
        </w:tabs>
        <w:ind w:left="3600" w:hanging="360"/>
      </w:pPr>
      <w:rPr>
        <w:rFonts w:ascii="Arial" w:hAnsi="Arial" w:hint="default"/>
      </w:rPr>
    </w:lvl>
    <w:lvl w:ilvl="5" w:tplc="843C62A0" w:tentative="1">
      <w:start w:val="1"/>
      <w:numFmt w:val="bullet"/>
      <w:lvlText w:val="•"/>
      <w:lvlJc w:val="left"/>
      <w:pPr>
        <w:tabs>
          <w:tab w:val="num" w:pos="4320"/>
        </w:tabs>
        <w:ind w:left="4320" w:hanging="360"/>
      </w:pPr>
      <w:rPr>
        <w:rFonts w:ascii="Arial" w:hAnsi="Arial" w:hint="default"/>
      </w:rPr>
    </w:lvl>
    <w:lvl w:ilvl="6" w:tplc="231A1070" w:tentative="1">
      <w:start w:val="1"/>
      <w:numFmt w:val="bullet"/>
      <w:lvlText w:val="•"/>
      <w:lvlJc w:val="left"/>
      <w:pPr>
        <w:tabs>
          <w:tab w:val="num" w:pos="5040"/>
        </w:tabs>
        <w:ind w:left="5040" w:hanging="360"/>
      </w:pPr>
      <w:rPr>
        <w:rFonts w:ascii="Arial" w:hAnsi="Arial" w:hint="default"/>
      </w:rPr>
    </w:lvl>
    <w:lvl w:ilvl="7" w:tplc="EF38F766" w:tentative="1">
      <w:start w:val="1"/>
      <w:numFmt w:val="bullet"/>
      <w:lvlText w:val="•"/>
      <w:lvlJc w:val="left"/>
      <w:pPr>
        <w:tabs>
          <w:tab w:val="num" w:pos="5760"/>
        </w:tabs>
        <w:ind w:left="5760" w:hanging="360"/>
      </w:pPr>
      <w:rPr>
        <w:rFonts w:ascii="Arial" w:hAnsi="Arial" w:hint="default"/>
      </w:rPr>
    </w:lvl>
    <w:lvl w:ilvl="8" w:tplc="C28CF182" w:tentative="1">
      <w:start w:val="1"/>
      <w:numFmt w:val="bullet"/>
      <w:lvlText w:val="•"/>
      <w:lvlJc w:val="left"/>
      <w:pPr>
        <w:tabs>
          <w:tab w:val="num" w:pos="6480"/>
        </w:tabs>
        <w:ind w:left="6480" w:hanging="360"/>
      </w:pPr>
      <w:rPr>
        <w:rFonts w:ascii="Arial" w:hAnsi="Arial" w:hint="default"/>
      </w:rPr>
    </w:lvl>
  </w:abstractNum>
  <w:abstractNum w:abstractNumId="27">
    <w:nsid w:val="3FAE43F3"/>
    <w:multiLevelType w:val="hybridMultilevel"/>
    <w:tmpl w:val="E8386AD0"/>
    <w:lvl w:ilvl="0" w:tplc="3508F95C">
      <w:start w:val="1"/>
      <w:numFmt w:val="bullet"/>
      <w:lvlText w:val="•"/>
      <w:lvlJc w:val="left"/>
      <w:pPr>
        <w:tabs>
          <w:tab w:val="num" w:pos="720"/>
        </w:tabs>
        <w:ind w:left="720" w:hanging="360"/>
      </w:pPr>
      <w:rPr>
        <w:rFonts w:ascii="Arial" w:hAnsi="Arial" w:hint="default"/>
      </w:rPr>
    </w:lvl>
    <w:lvl w:ilvl="1" w:tplc="EE3AD546" w:tentative="1">
      <w:start w:val="1"/>
      <w:numFmt w:val="bullet"/>
      <w:lvlText w:val="•"/>
      <w:lvlJc w:val="left"/>
      <w:pPr>
        <w:tabs>
          <w:tab w:val="num" w:pos="1440"/>
        </w:tabs>
        <w:ind w:left="1440" w:hanging="360"/>
      </w:pPr>
      <w:rPr>
        <w:rFonts w:ascii="Arial" w:hAnsi="Arial" w:hint="default"/>
      </w:rPr>
    </w:lvl>
    <w:lvl w:ilvl="2" w:tplc="6966025C" w:tentative="1">
      <w:start w:val="1"/>
      <w:numFmt w:val="bullet"/>
      <w:lvlText w:val="•"/>
      <w:lvlJc w:val="left"/>
      <w:pPr>
        <w:tabs>
          <w:tab w:val="num" w:pos="2160"/>
        </w:tabs>
        <w:ind w:left="2160" w:hanging="360"/>
      </w:pPr>
      <w:rPr>
        <w:rFonts w:ascii="Arial" w:hAnsi="Arial" w:hint="default"/>
      </w:rPr>
    </w:lvl>
    <w:lvl w:ilvl="3" w:tplc="F38E41CC" w:tentative="1">
      <w:start w:val="1"/>
      <w:numFmt w:val="bullet"/>
      <w:lvlText w:val="•"/>
      <w:lvlJc w:val="left"/>
      <w:pPr>
        <w:tabs>
          <w:tab w:val="num" w:pos="2880"/>
        </w:tabs>
        <w:ind w:left="2880" w:hanging="360"/>
      </w:pPr>
      <w:rPr>
        <w:rFonts w:ascii="Arial" w:hAnsi="Arial" w:hint="default"/>
      </w:rPr>
    </w:lvl>
    <w:lvl w:ilvl="4" w:tplc="93A46280" w:tentative="1">
      <w:start w:val="1"/>
      <w:numFmt w:val="bullet"/>
      <w:lvlText w:val="•"/>
      <w:lvlJc w:val="left"/>
      <w:pPr>
        <w:tabs>
          <w:tab w:val="num" w:pos="3600"/>
        </w:tabs>
        <w:ind w:left="3600" w:hanging="360"/>
      </w:pPr>
      <w:rPr>
        <w:rFonts w:ascii="Arial" w:hAnsi="Arial" w:hint="default"/>
      </w:rPr>
    </w:lvl>
    <w:lvl w:ilvl="5" w:tplc="43CA1FEA" w:tentative="1">
      <w:start w:val="1"/>
      <w:numFmt w:val="bullet"/>
      <w:lvlText w:val="•"/>
      <w:lvlJc w:val="left"/>
      <w:pPr>
        <w:tabs>
          <w:tab w:val="num" w:pos="4320"/>
        </w:tabs>
        <w:ind w:left="4320" w:hanging="360"/>
      </w:pPr>
      <w:rPr>
        <w:rFonts w:ascii="Arial" w:hAnsi="Arial" w:hint="default"/>
      </w:rPr>
    </w:lvl>
    <w:lvl w:ilvl="6" w:tplc="99F27220" w:tentative="1">
      <w:start w:val="1"/>
      <w:numFmt w:val="bullet"/>
      <w:lvlText w:val="•"/>
      <w:lvlJc w:val="left"/>
      <w:pPr>
        <w:tabs>
          <w:tab w:val="num" w:pos="5040"/>
        </w:tabs>
        <w:ind w:left="5040" w:hanging="360"/>
      </w:pPr>
      <w:rPr>
        <w:rFonts w:ascii="Arial" w:hAnsi="Arial" w:hint="default"/>
      </w:rPr>
    </w:lvl>
    <w:lvl w:ilvl="7" w:tplc="CEBEFAC8" w:tentative="1">
      <w:start w:val="1"/>
      <w:numFmt w:val="bullet"/>
      <w:lvlText w:val="•"/>
      <w:lvlJc w:val="left"/>
      <w:pPr>
        <w:tabs>
          <w:tab w:val="num" w:pos="5760"/>
        </w:tabs>
        <w:ind w:left="5760" w:hanging="360"/>
      </w:pPr>
      <w:rPr>
        <w:rFonts w:ascii="Arial" w:hAnsi="Arial" w:hint="default"/>
      </w:rPr>
    </w:lvl>
    <w:lvl w:ilvl="8" w:tplc="9676935A" w:tentative="1">
      <w:start w:val="1"/>
      <w:numFmt w:val="bullet"/>
      <w:lvlText w:val="•"/>
      <w:lvlJc w:val="left"/>
      <w:pPr>
        <w:tabs>
          <w:tab w:val="num" w:pos="6480"/>
        </w:tabs>
        <w:ind w:left="6480" w:hanging="360"/>
      </w:pPr>
      <w:rPr>
        <w:rFonts w:ascii="Arial" w:hAnsi="Arial" w:hint="default"/>
      </w:rPr>
    </w:lvl>
  </w:abstractNum>
  <w:abstractNum w:abstractNumId="28">
    <w:nsid w:val="40E97AF7"/>
    <w:multiLevelType w:val="hybridMultilevel"/>
    <w:tmpl w:val="7088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11B643B"/>
    <w:multiLevelType w:val="hybridMultilevel"/>
    <w:tmpl w:val="F3AA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5F50F0A"/>
    <w:multiLevelType w:val="hybridMultilevel"/>
    <w:tmpl w:val="0DC0B916"/>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1">
    <w:nsid w:val="479F51FF"/>
    <w:multiLevelType w:val="hybridMultilevel"/>
    <w:tmpl w:val="CB4A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635960"/>
    <w:multiLevelType w:val="hybridMultilevel"/>
    <w:tmpl w:val="E40C6652"/>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33">
    <w:nsid w:val="4D685D4A"/>
    <w:multiLevelType w:val="hybridMultilevel"/>
    <w:tmpl w:val="46FE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675055"/>
    <w:multiLevelType w:val="hybridMultilevel"/>
    <w:tmpl w:val="37D8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014F41"/>
    <w:multiLevelType w:val="hybridMultilevel"/>
    <w:tmpl w:val="6DA27436"/>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36">
    <w:nsid w:val="512719B6"/>
    <w:multiLevelType w:val="hybridMultilevel"/>
    <w:tmpl w:val="1360C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5F672A"/>
    <w:multiLevelType w:val="hybridMultilevel"/>
    <w:tmpl w:val="E108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4410948"/>
    <w:multiLevelType w:val="hybridMultilevel"/>
    <w:tmpl w:val="6B58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48A69CF"/>
    <w:multiLevelType w:val="hybridMultilevel"/>
    <w:tmpl w:val="11F0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71D3A86"/>
    <w:multiLevelType w:val="hybridMultilevel"/>
    <w:tmpl w:val="E9FC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86267E5"/>
    <w:multiLevelType w:val="hybridMultilevel"/>
    <w:tmpl w:val="F7A2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8F87D54"/>
    <w:multiLevelType w:val="hybridMultilevel"/>
    <w:tmpl w:val="AB36C33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3">
    <w:nsid w:val="5AE967F4"/>
    <w:multiLevelType w:val="hybridMultilevel"/>
    <w:tmpl w:val="81B4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B0045E1"/>
    <w:multiLevelType w:val="hybridMultilevel"/>
    <w:tmpl w:val="14EA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C3524E6"/>
    <w:multiLevelType w:val="hybridMultilevel"/>
    <w:tmpl w:val="8F346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5D6C331B"/>
    <w:multiLevelType w:val="hybridMultilevel"/>
    <w:tmpl w:val="C0307F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nsid w:val="5D862DE7"/>
    <w:multiLevelType w:val="hybridMultilevel"/>
    <w:tmpl w:val="899C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F6748B6"/>
    <w:multiLevelType w:val="hybridMultilevel"/>
    <w:tmpl w:val="78AA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0B558A0"/>
    <w:multiLevelType w:val="hybridMultilevel"/>
    <w:tmpl w:val="3FC4B49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0">
    <w:nsid w:val="64D16DFA"/>
    <w:multiLevelType w:val="hybridMultilevel"/>
    <w:tmpl w:val="D8CEFC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nsid w:val="65FE1E09"/>
    <w:multiLevelType w:val="hybridMultilevel"/>
    <w:tmpl w:val="CEF6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7B565D8"/>
    <w:multiLevelType w:val="hybridMultilevel"/>
    <w:tmpl w:val="BC8CD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nsid w:val="69A07371"/>
    <w:multiLevelType w:val="hybridMultilevel"/>
    <w:tmpl w:val="217A9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9AF253B"/>
    <w:multiLevelType w:val="multilevel"/>
    <w:tmpl w:val="DC74CDB2"/>
    <w:lvl w:ilvl="0">
      <w:start w:val="1"/>
      <w:numFmt w:val="decimal"/>
      <w:lvlText w:val="%1.1"/>
      <w:lvlJc w:val="left"/>
      <w:pPr>
        <w:ind w:left="357" w:hanging="357"/>
      </w:pPr>
      <w:rPr>
        <w:rFonts w:hint="default"/>
      </w:rPr>
    </w:lvl>
    <w:lvl w:ilvl="1">
      <w:start w:val="1"/>
      <w:numFmt w:val="decimal"/>
      <w:lvlText w:val="%1.%2"/>
      <w:lvlJc w:val="left"/>
      <w:pPr>
        <w:ind w:left="499" w:hanging="357"/>
      </w:pPr>
      <w:rPr>
        <w:rFonts w:hint="default"/>
      </w:rPr>
    </w:lvl>
    <w:lvl w:ilvl="2">
      <w:start w:val="1"/>
      <w:numFmt w:val="decimal"/>
      <w:lvlText w:val="%1.%2.%3"/>
      <w:lvlJc w:val="left"/>
      <w:pPr>
        <w:ind w:left="641" w:hanging="357"/>
      </w:pPr>
      <w:rPr>
        <w:rFonts w:hint="default"/>
      </w:rPr>
    </w:lvl>
    <w:lvl w:ilvl="3">
      <w:start w:val="1"/>
      <w:numFmt w:val="decimal"/>
      <w:lvlText w:val="%1.%2.%3.%4"/>
      <w:lvlJc w:val="left"/>
      <w:pPr>
        <w:ind w:left="783" w:hanging="357"/>
      </w:pPr>
      <w:rPr>
        <w:rFonts w:hint="default"/>
      </w:rPr>
    </w:lvl>
    <w:lvl w:ilvl="4">
      <w:start w:val="1"/>
      <w:numFmt w:val="decimal"/>
      <w:lvlText w:val="%1.%2.%3.%4.%5"/>
      <w:lvlJc w:val="left"/>
      <w:pPr>
        <w:ind w:left="925" w:hanging="357"/>
      </w:pPr>
      <w:rPr>
        <w:rFonts w:hint="default"/>
      </w:rPr>
    </w:lvl>
    <w:lvl w:ilvl="5">
      <w:start w:val="1"/>
      <w:numFmt w:val="decimal"/>
      <w:lvlText w:val="%1.%2.%3.%4.%5.%6"/>
      <w:lvlJc w:val="left"/>
      <w:pPr>
        <w:ind w:left="1067" w:hanging="357"/>
      </w:pPr>
      <w:rPr>
        <w:rFonts w:hint="default"/>
      </w:rPr>
    </w:lvl>
    <w:lvl w:ilvl="6">
      <w:start w:val="1"/>
      <w:numFmt w:val="decimal"/>
      <w:lvlText w:val="%1.%2.%3.%4.%5.%6.%7"/>
      <w:lvlJc w:val="left"/>
      <w:pPr>
        <w:ind w:left="1209" w:hanging="357"/>
      </w:pPr>
      <w:rPr>
        <w:rFonts w:hint="default"/>
      </w:rPr>
    </w:lvl>
    <w:lvl w:ilvl="7">
      <w:start w:val="1"/>
      <w:numFmt w:val="decimal"/>
      <w:lvlText w:val="%1.%2.%3.%4.%5.%6.%7.%8"/>
      <w:lvlJc w:val="left"/>
      <w:pPr>
        <w:ind w:left="1351" w:hanging="357"/>
      </w:pPr>
      <w:rPr>
        <w:rFonts w:hint="default"/>
      </w:rPr>
    </w:lvl>
    <w:lvl w:ilvl="8">
      <w:start w:val="1"/>
      <w:numFmt w:val="decimal"/>
      <w:lvlText w:val="%1.%2.%3.%4.%5.%6.%7.%8.%9"/>
      <w:lvlJc w:val="left"/>
      <w:pPr>
        <w:ind w:left="1493" w:hanging="357"/>
      </w:pPr>
      <w:rPr>
        <w:rFonts w:hint="default"/>
      </w:rPr>
    </w:lvl>
  </w:abstractNum>
  <w:abstractNum w:abstractNumId="55">
    <w:nsid w:val="6A18585F"/>
    <w:multiLevelType w:val="hybridMultilevel"/>
    <w:tmpl w:val="D9A2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A7C661A"/>
    <w:multiLevelType w:val="hybridMultilevel"/>
    <w:tmpl w:val="7420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ADC4167"/>
    <w:multiLevelType w:val="hybridMultilevel"/>
    <w:tmpl w:val="B054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CE01D60"/>
    <w:multiLevelType w:val="hybridMultilevel"/>
    <w:tmpl w:val="44028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D907C91"/>
    <w:multiLevelType w:val="hybridMultilevel"/>
    <w:tmpl w:val="52E4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D9829E4"/>
    <w:multiLevelType w:val="hybridMultilevel"/>
    <w:tmpl w:val="82A8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DC32357"/>
    <w:multiLevelType w:val="hybridMultilevel"/>
    <w:tmpl w:val="F3583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34E4CE4"/>
    <w:multiLevelType w:val="hybridMultilevel"/>
    <w:tmpl w:val="3336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7401BBB"/>
    <w:multiLevelType w:val="multilevel"/>
    <w:tmpl w:val="401A7356"/>
    <w:lvl w:ilvl="0">
      <w:start w:val="1"/>
      <w:numFmt w:val="decimal"/>
      <w:lvlText w:val="%1"/>
      <w:lvlJc w:val="left"/>
      <w:pPr>
        <w:ind w:left="432" w:hanging="432"/>
      </w:pPr>
      <w:rPr>
        <w:rFonts w:hint="default"/>
      </w:rPr>
    </w:lvl>
    <w:lvl w:ilvl="1">
      <w:start w:val="7"/>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nsid w:val="7AB77F0E"/>
    <w:multiLevelType w:val="hybridMultilevel"/>
    <w:tmpl w:val="3B7C8AB0"/>
    <w:lvl w:ilvl="0" w:tplc="08090017">
      <w:start w:val="1"/>
      <w:numFmt w:val="lowerLetter"/>
      <w:lvlText w:val="%1)"/>
      <w:lvlJc w:val="left"/>
      <w:pPr>
        <w:ind w:left="1070" w:hanging="360"/>
      </w:pPr>
      <w:rPr>
        <w:rFont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5">
    <w:nsid w:val="7AF56139"/>
    <w:multiLevelType w:val="hybridMultilevel"/>
    <w:tmpl w:val="35A20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D4C2496"/>
    <w:multiLevelType w:val="hybridMultilevel"/>
    <w:tmpl w:val="9F74BEA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7">
    <w:nsid w:val="7EDD2654"/>
    <w:multiLevelType w:val="hybridMultilevel"/>
    <w:tmpl w:val="34F025D0"/>
    <w:lvl w:ilvl="0" w:tplc="08090001">
      <w:start w:val="1"/>
      <w:numFmt w:val="bullet"/>
      <w:lvlText w:val=""/>
      <w:lvlJc w:val="left"/>
      <w:pPr>
        <w:ind w:left="981" w:hanging="360"/>
      </w:pPr>
      <w:rPr>
        <w:rFonts w:ascii="Symbol" w:hAnsi="Symbol"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hint="default"/>
      </w:rPr>
    </w:lvl>
    <w:lvl w:ilvl="3" w:tplc="08090001" w:tentative="1">
      <w:start w:val="1"/>
      <w:numFmt w:val="bullet"/>
      <w:lvlText w:val=""/>
      <w:lvlJc w:val="left"/>
      <w:pPr>
        <w:ind w:left="3141" w:hanging="360"/>
      </w:pPr>
      <w:rPr>
        <w:rFonts w:ascii="Symbol" w:hAnsi="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hint="default"/>
      </w:rPr>
    </w:lvl>
    <w:lvl w:ilvl="6" w:tplc="08090001" w:tentative="1">
      <w:start w:val="1"/>
      <w:numFmt w:val="bullet"/>
      <w:lvlText w:val=""/>
      <w:lvlJc w:val="left"/>
      <w:pPr>
        <w:ind w:left="5301" w:hanging="360"/>
      </w:pPr>
      <w:rPr>
        <w:rFonts w:ascii="Symbol" w:hAnsi="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hint="default"/>
      </w:rPr>
    </w:lvl>
  </w:abstractNum>
  <w:num w:numId="1">
    <w:abstractNumId w:val="1"/>
  </w:num>
  <w:num w:numId="2">
    <w:abstractNumId w:val="0"/>
  </w:num>
  <w:num w:numId="3">
    <w:abstractNumId w:val="34"/>
  </w:num>
  <w:num w:numId="4">
    <w:abstractNumId w:val="8"/>
  </w:num>
  <w:num w:numId="5">
    <w:abstractNumId w:val="54"/>
  </w:num>
  <w:num w:numId="6">
    <w:abstractNumId w:val="57"/>
  </w:num>
  <w:num w:numId="7">
    <w:abstractNumId w:val="16"/>
  </w:num>
  <w:num w:numId="8">
    <w:abstractNumId w:val="18"/>
  </w:num>
  <w:num w:numId="9">
    <w:abstractNumId w:val="37"/>
  </w:num>
  <w:num w:numId="10">
    <w:abstractNumId w:val="65"/>
  </w:num>
  <w:num w:numId="11">
    <w:abstractNumId w:val="31"/>
  </w:num>
  <w:num w:numId="12">
    <w:abstractNumId w:val="21"/>
  </w:num>
  <w:num w:numId="13">
    <w:abstractNumId w:val="58"/>
  </w:num>
  <w:num w:numId="14">
    <w:abstractNumId w:val="55"/>
  </w:num>
  <w:num w:numId="15">
    <w:abstractNumId w:val="32"/>
  </w:num>
  <w:num w:numId="16">
    <w:abstractNumId w:val="49"/>
  </w:num>
  <w:num w:numId="17">
    <w:abstractNumId w:val="56"/>
  </w:num>
  <w:num w:numId="18">
    <w:abstractNumId w:val="30"/>
  </w:num>
  <w:num w:numId="19">
    <w:abstractNumId w:val="7"/>
  </w:num>
  <w:num w:numId="20">
    <w:abstractNumId w:val="10"/>
  </w:num>
  <w:num w:numId="21">
    <w:abstractNumId w:val="59"/>
  </w:num>
  <w:num w:numId="22">
    <w:abstractNumId w:val="51"/>
  </w:num>
  <w:num w:numId="23">
    <w:abstractNumId w:val="29"/>
  </w:num>
  <w:num w:numId="24">
    <w:abstractNumId w:val="48"/>
  </w:num>
  <w:num w:numId="25">
    <w:abstractNumId w:val="28"/>
  </w:num>
  <w:num w:numId="26">
    <w:abstractNumId w:val="4"/>
  </w:num>
  <w:num w:numId="27">
    <w:abstractNumId w:val="42"/>
  </w:num>
  <w:num w:numId="28">
    <w:abstractNumId w:val="40"/>
  </w:num>
  <w:num w:numId="29">
    <w:abstractNumId w:val="15"/>
  </w:num>
  <w:num w:numId="30">
    <w:abstractNumId w:val="9"/>
  </w:num>
  <w:num w:numId="31">
    <w:abstractNumId w:val="36"/>
  </w:num>
  <w:num w:numId="32">
    <w:abstractNumId w:val="6"/>
  </w:num>
  <w:num w:numId="33">
    <w:abstractNumId w:val="12"/>
  </w:num>
  <w:num w:numId="34">
    <w:abstractNumId w:val="41"/>
  </w:num>
  <w:num w:numId="35">
    <w:abstractNumId w:val="17"/>
  </w:num>
  <w:num w:numId="36">
    <w:abstractNumId w:val="47"/>
  </w:num>
  <w:num w:numId="37">
    <w:abstractNumId w:val="46"/>
  </w:num>
  <w:num w:numId="38">
    <w:abstractNumId w:val="3"/>
  </w:num>
  <w:num w:numId="39">
    <w:abstractNumId w:val="43"/>
  </w:num>
  <w:num w:numId="40">
    <w:abstractNumId w:val="25"/>
  </w:num>
  <w:num w:numId="41">
    <w:abstractNumId w:val="44"/>
  </w:num>
  <w:num w:numId="42">
    <w:abstractNumId w:val="61"/>
  </w:num>
  <w:num w:numId="43">
    <w:abstractNumId w:val="39"/>
  </w:num>
  <w:num w:numId="44">
    <w:abstractNumId w:val="33"/>
  </w:num>
  <w:num w:numId="45">
    <w:abstractNumId w:val="5"/>
  </w:num>
  <w:num w:numId="46">
    <w:abstractNumId w:val="19"/>
  </w:num>
  <w:num w:numId="47">
    <w:abstractNumId w:val="23"/>
  </w:num>
  <w:num w:numId="48">
    <w:abstractNumId w:val="38"/>
  </w:num>
  <w:num w:numId="49">
    <w:abstractNumId w:val="35"/>
  </w:num>
  <w:num w:numId="50">
    <w:abstractNumId w:val="26"/>
  </w:num>
  <w:num w:numId="51">
    <w:abstractNumId w:val="24"/>
  </w:num>
  <w:num w:numId="52">
    <w:abstractNumId w:val="14"/>
  </w:num>
  <w:num w:numId="53">
    <w:abstractNumId w:val="11"/>
  </w:num>
  <w:num w:numId="54">
    <w:abstractNumId w:val="67"/>
  </w:num>
  <w:num w:numId="55">
    <w:abstractNumId w:val="20"/>
  </w:num>
  <w:num w:numId="56">
    <w:abstractNumId w:val="60"/>
  </w:num>
  <w:num w:numId="57">
    <w:abstractNumId w:val="27"/>
  </w:num>
  <w:num w:numId="58">
    <w:abstractNumId w:val="13"/>
  </w:num>
  <w:num w:numId="59">
    <w:abstractNumId w:val="2"/>
  </w:num>
  <w:num w:numId="60">
    <w:abstractNumId w:val="53"/>
  </w:num>
  <w:num w:numId="61">
    <w:abstractNumId w:val="62"/>
  </w:num>
  <w:num w:numId="62">
    <w:abstractNumId w:val="63"/>
  </w:num>
  <w:num w:numId="63">
    <w:abstractNumId w:val="22"/>
  </w:num>
  <w:num w:numId="64">
    <w:abstractNumId w:val="66"/>
  </w:num>
  <w:num w:numId="65">
    <w:abstractNumId w:val="64"/>
  </w:num>
  <w:num w:numId="66">
    <w:abstractNumId w:val="50"/>
  </w:num>
  <w:num w:numId="67">
    <w:abstractNumId w:val="45"/>
  </w:num>
  <w:num w:numId="68">
    <w:abstractNumId w:val="5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liam Smart">
    <w15:presenceInfo w15:providerId="Windows Live" w15:userId="595f2ccd-f181-4395-90ab-daf081257cd9"/>
  </w15:person>
  <w15:person w15:author="Matthew Swindells">
    <w15:presenceInfo w15:providerId="Windows Live" w15:userId="7b525b9c-b8b7-4676-94c8-509e1e55b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D19"/>
    <w:rsid w:val="00000C30"/>
    <w:rsid w:val="00003FB1"/>
    <w:rsid w:val="00006597"/>
    <w:rsid w:val="000109DA"/>
    <w:rsid w:val="00011337"/>
    <w:rsid w:val="00011D71"/>
    <w:rsid w:val="00014A5E"/>
    <w:rsid w:val="000150B6"/>
    <w:rsid w:val="00015966"/>
    <w:rsid w:val="00016829"/>
    <w:rsid w:val="0001685D"/>
    <w:rsid w:val="00016D04"/>
    <w:rsid w:val="00016E61"/>
    <w:rsid w:val="00017228"/>
    <w:rsid w:val="00023F26"/>
    <w:rsid w:val="00023F59"/>
    <w:rsid w:val="00026BB5"/>
    <w:rsid w:val="00031AB2"/>
    <w:rsid w:val="00033EA3"/>
    <w:rsid w:val="00037380"/>
    <w:rsid w:val="00043810"/>
    <w:rsid w:val="0004400C"/>
    <w:rsid w:val="000459B9"/>
    <w:rsid w:val="00047E81"/>
    <w:rsid w:val="00052896"/>
    <w:rsid w:val="00053E81"/>
    <w:rsid w:val="00054970"/>
    <w:rsid w:val="00054D1B"/>
    <w:rsid w:val="0005782D"/>
    <w:rsid w:val="00061464"/>
    <w:rsid w:val="00062C16"/>
    <w:rsid w:val="00067EFD"/>
    <w:rsid w:val="0007103F"/>
    <w:rsid w:val="00072EF9"/>
    <w:rsid w:val="00073210"/>
    <w:rsid w:val="000734E2"/>
    <w:rsid w:val="000750F3"/>
    <w:rsid w:val="000764CB"/>
    <w:rsid w:val="0008290F"/>
    <w:rsid w:val="000837F0"/>
    <w:rsid w:val="000851E4"/>
    <w:rsid w:val="0008525A"/>
    <w:rsid w:val="000919C4"/>
    <w:rsid w:val="00092FBE"/>
    <w:rsid w:val="00094BA1"/>
    <w:rsid w:val="00096621"/>
    <w:rsid w:val="000971F2"/>
    <w:rsid w:val="000A061B"/>
    <w:rsid w:val="000A1E07"/>
    <w:rsid w:val="000A2157"/>
    <w:rsid w:val="000A2720"/>
    <w:rsid w:val="000A2F30"/>
    <w:rsid w:val="000A43BB"/>
    <w:rsid w:val="000A4A4D"/>
    <w:rsid w:val="000A4E13"/>
    <w:rsid w:val="000A592A"/>
    <w:rsid w:val="000A5BBB"/>
    <w:rsid w:val="000A667B"/>
    <w:rsid w:val="000A70A2"/>
    <w:rsid w:val="000A75C8"/>
    <w:rsid w:val="000A761D"/>
    <w:rsid w:val="000A76ED"/>
    <w:rsid w:val="000B00EB"/>
    <w:rsid w:val="000B0105"/>
    <w:rsid w:val="000B2AB9"/>
    <w:rsid w:val="000B3176"/>
    <w:rsid w:val="000B5725"/>
    <w:rsid w:val="000B5BE6"/>
    <w:rsid w:val="000B6685"/>
    <w:rsid w:val="000C01FE"/>
    <w:rsid w:val="000C1563"/>
    <w:rsid w:val="000C5095"/>
    <w:rsid w:val="000C6DC2"/>
    <w:rsid w:val="000D0460"/>
    <w:rsid w:val="000D08CC"/>
    <w:rsid w:val="000D0FE8"/>
    <w:rsid w:val="000D32B6"/>
    <w:rsid w:val="000D43F7"/>
    <w:rsid w:val="000D66CD"/>
    <w:rsid w:val="000D6F3B"/>
    <w:rsid w:val="000D6FEB"/>
    <w:rsid w:val="000D77A7"/>
    <w:rsid w:val="000E1362"/>
    <w:rsid w:val="000E22E2"/>
    <w:rsid w:val="000E3303"/>
    <w:rsid w:val="000E3627"/>
    <w:rsid w:val="000E3DE8"/>
    <w:rsid w:val="000E5AD5"/>
    <w:rsid w:val="000E72D4"/>
    <w:rsid w:val="000F1E7F"/>
    <w:rsid w:val="000F4AF5"/>
    <w:rsid w:val="000F6790"/>
    <w:rsid w:val="000F7F18"/>
    <w:rsid w:val="001058F6"/>
    <w:rsid w:val="00106708"/>
    <w:rsid w:val="00107D82"/>
    <w:rsid w:val="001146F2"/>
    <w:rsid w:val="00114FC7"/>
    <w:rsid w:val="00115A00"/>
    <w:rsid w:val="00115A11"/>
    <w:rsid w:val="00120259"/>
    <w:rsid w:val="00121EDE"/>
    <w:rsid w:val="00122117"/>
    <w:rsid w:val="00123AD7"/>
    <w:rsid w:val="0012479D"/>
    <w:rsid w:val="001255F5"/>
    <w:rsid w:val="00125900"/>
    <w:rsid w:val="00125FBF"/>
    <w:rsid w:val="00127D17"/>
    <w:rsid w:val="001307F5"/>
    <w:rsid w:val="00131ED5"/>
    <w:rsid w:val="001320C9"/>
    <w:rsid w:val="00132595"/>
    <w:rsid w:val="00133979"/>
    <w:rsid w:val="00136C49"/>
    <w:rsid w:val="00137815"/>
    <w:rsid w:val="00137853"/>
    <w:rsid w:val="00140955"/>
    <w:rsid w:val="00140DE4"/>
    <w:rsid w:val="001415DA"/>
    <w:rsid w:val="00147678"/>
    <w:rsid w:val="00150BB8"/>
    <w:rsid w:val="00150E4F"/>
    <w:rsid w:val="00150E93"/>
    <w:rsid w:val="00151075"/>
    <w:rsid w:val="00151845"/>
    <w:rsid w:val="00151B82"/>
    <w:rsid w:val="00154750"/>
    <w:rsid w:val="0015625F"/>
    <w:rsid w:val="001567FB"/>
    <w:rsid w:val="00157394"/>
    <w:rsid w:val="001576C9"/>
    <w:rsid w:val="00157EBD"/>
    <w:rsid w:val="00160DD3"/>
    <w:rsid w:val="001611BF"/>
    <w:rsid w:val="001613D0"/>
    <w:rsid w:val="00162D63"/>
    <w:rsid w:val="00163E31"/>
    <w:rsid w:val="001649F2"/>
    <w:rsid w:val="00165A66"/>
    <w:rsid w:val="00166DBB"/>
    <w:rsid w:val="00167B83"/>
    <w:rsid w:val="001715DA"/>
    <w:rsid w:val="00171A9B"/>
    <w:rsid w:val="00172D9C"/>
    <w:rsid w:val="001763F7"/>
    <w:rsid w:val="00176684"/>
    <w:rsid w:val="00177F5F"/>
    <w:rsid w:val="001820ED"/>
    <w:rsid w:val="00186B5A"/>
    <w:rsid w:val="00190CD0"/>
    <w:rsid w:val="00191002"/>
    <w:rsid w:val="00193039"/>
    <w:rsid w:val="0019326A"/>
    <w:rsid w:val="0019439A"/>
    <w:rsid w:val="00195F3B"/>
    <w:rsid w:val="001970ED"/>
    <w:rsid w:val="00197C44"/>
    <w:rsid w:val="001A0417"/>
    <w:rsid w:val="001A06AC"/>
    <w:rsid w:val="001A15EB"/>
    <w:rsid w:val="001A3769"/>
    <w:rsid w:val="001A5F20"/>
    <w:rsid w:val="001A792C"/>
    <w:rsid w:val="001B2F57"/>
    <w:rsid w:val="001B503A"/>
    <w:rsid w:val="001B6A93"/>
    <w:rsid w:val="001C7BD1"/>
    <w:rsid w:val="001D194A"/>
    <w:rsid w:val="001D1977"/>
    <w:rsid w:val="001D2D96"/>
    <w:rsid w:val="001D2FBE"/>
    <w:rsid w:val="001D3EE5"/>
    <w:rsid w:val="001D4DE7"/>
    <w:rsid w:val="001D7B51"/>
    <w:rsid w:val="001E0638"/>
    <w:rsid w:val="001E2681"/>
    <w:rsid w:val="001E2B23"/>
    <w:rsid w:val="001E513D"/>
    <w:rsid w:val="001E5752"/>
    <w:rsid w:val="001E749C"/>
    <w:rsid w:val="001F000E"/>
    <w:rsid w:val="001F0B49"/>
    <w:rsid w:val="001F4E25"/>
    <w:rsid w:val="001F5D19"/>
    <w:rsid w:val="001F5E8C"/>
    <w:rsid w:val="001F6576"/>
    <w:rsid w:val="001F735C"/>
    <w:rsid w:val="001F7FBA"/>
    <w:rsid w:val="00202732"/>
    <w:rsid w:val="002041BD"/>
    <w:rsid w:val="002060A7"/>
    <w:rsid w:val="002063C6"/>
    <w:rsid w:val="00206D5B"/>
    <w:rsid w:val="00213CF8"/>
    <w:rsid w:val="0021471E"/>
    <w:rsid w:val="00214FD1"/>
    <w:rsid w:val="00215E30"/>
    <w:rsid w:val="00217607"/>
    <w:rsid w:val="00217689"/>
    <w:rsid w:val="0021780C"/>
    <w:rsid w:val="00217DC4"/>
    <w:rsid w:val="00220935"/>
    <w:rsid w:val="00220BF2"/>
    <w:rsid w:val="00222264"/>
    <w:rsid w:val="0022397E"/>
    <w:rsid w:val="00225935"/>
    <w:rsid w:val="00226012"/>
    <w:rsid w:val="00226118"/>
    <w:rsid w:val="00226B41"/>
    <w:rsid w:val="00227DAF"/>
    <w:rsid w:val="002305C0"/>
    <w:rsid w:val="0023739F"/>
    <w:rsid w:val="00237605"/>
    <w:rsid w:val="00240176"/>
    <w:rsid w:val="0024112C"/>
    <w:rsid w:val="002414D3"/>
    <w:rsid w:val="002437AE"/>
    <w:rsid w:val="00243902"/>
    <w:rsid w:val="00243F4F"/>
    <w:rsid w:val="00246435"/>
    <w:rsid w:val="002476D9"/>
    <w:rsid w:val="00250A5A"/>
    <w:rsid w:val="00250B8F"/>
    <w:rsid w:val="00251BC8"/>
    <w:rsid w:val="0025477F"/>
    <w:rsid w:val="00255BD0"/>
    <w:rsid w:val="00257B04"/>
    <w:rsid w:val="002609E7"/>
    <w:rsid w:val="002610FB"/>
    <w:rsid w:val="002640E7"/>
    <w:rsid w:val="00264BA0"/>
    <w:rsid w:val="0026604E"/>
    <w:rsid w:val="0027114E"/>
    <w:rsid w:val="002714FC"/>
    <w:rsid w:val="00272AD2"/>
    <w:rsid w:val="00275C5E"/>
    <w:rsid w:val="002775EF"/>
    <w:rsid w:val="00277CCA"/>
    <w:rsid w:val="00282E80"/>
    <w:rsid w:val="0028389F"/>
    <w:rsid w:val="00287341"/>
    <w:rsid w:val="00287A1D"/>
    <w:rsid w:val="0029120C"/>
    <w:rsid w:val="00294C21"/>
    <w:rsid w:val="002956EC"/>
    <w:rsid w:val="002957EA"/>
    <w:rsid w:val="002959B4"/>
    <w:rsid w:val="00296E2E"/>
    <w:rsid w:val="0029761D"/>
    <w:rsid w:val="002979DD"/>
    <w:rsid w:val="00297C24"/>
    <w:rsid w:val="002A4429"/>
    <w:rsid w:val="002A45FB"/>
    <w:rsid w:val="002A481B"/>
    <w:rsid w:val="002B032F"/>
    <w:rsid w:val="002B0FE8"/>
    <w:rsid w:val="002B24B6"/>
    <w:rsid w:val="002B4952"/>
    <w:rsid w:val="002B655D"/>
    <w:rsid w:val="002C0A42"/>
    <w:rsid w:val="002C0EF7"/>
    <w:rsid w:val="002C3CF4"/>
    <w:rsid w:val="002D0806"/>
    <w:rsid w:val="002D3416"/>
    <w:rsid w:val="002D3A1A"/>
    <w:rsid w:val="002D430B"/>
    <w:rsid w:val="002D5533"/>
    <w:rsid w:val="002D5A69"/>
    <w:rsid w:val="002D5CC9"/>
    <w:rsid w:val="002D6B37"/>
    <w:rsid w:val="002D71FC"/>
    <w:rsid w:val="002D75FC"/>
    <w:rsid w:val="002D7D65"/>
    <w:rsid w:val="002E01D6"/>
    <w:rsid w:val="002E08A8"/>
    <w:rsid w:val="002E0F8C"/>
    <w:rsid w:val="002E1F9E"/>
    <w:rsid w:val="002E258F"/>
    <w:rsid w:val="002E25F0"/>
    <w:rsid w:val="002E49C2"/>
    <w:rsid w:val="002E5B95"/>
    <w:rsid w:val="002E6CD4"/>
    <w:rsid w:val="002F0269"/>
    <w:rsid w:val="002F1012"/>
    <w:rsid w:val="002F23FD"/>
    <w:rsid w:val="002F24FA"/>
    <w:rsid w:val="002F25F6"/>
    <w:rsid w:val="002F4986"/>
    <w:rsid w:val="002F4BE0"/>
    <w:rsid w:val="002F5379"/>
    <w:rsid w:val="00300D96"/>
    <w:rsid w:val="00303F97"/>
    <w:rsid w:val="0030490B"/>
    <w:rsid w:val="00306BDE"/>
    <w:rsid w:val="0031010F"/>
    <w:rsid w:val="003121C0"/>
    <w:rsid w:val="00313E98"/>
    <w:rsid w:val="003151D6"/>
    <w:rsid w:val="0031550C"/>
    <w:rsid w:val="003168B5"/>
    <w:rsid w:val="00321D87"/>
    <w:rsid w:val="003249AD"/>
    <w:rsid w:val="00325721"/>
    <w:rsid w:val="0032646C"/>
    <w:rsid w:val="00326987"/>
    <w:rsid w:val="00334F57"/>
    <w:rsid w:val="00336C79"/>
    <w:rsid w:val="003454DE"/>
    <w:rsid w:val="00346398"/>
    <w:rsid w:val="00346C74"/>
    <w:rsid w:val="0034771B"/>
    <w:rsid w:val="0035117D"/>
    <w:rsid w:val="0035187F"/>
    <w:rsid w:val="003519A7"/>
    <w:rsid w:val="00354A91"/>
    <w:rsid w:val="003563BB"/>
    <w:rsid w:val="00357129"/>
    <w:rsid w:val="00363D6D"/>
    <w:rsid w:val="00365060"/>
    <w:rsid w:val="00365AA3"/>
    <w:rsid w:val="00365F4C"/>
    <w:rsid w:val="0036617A"/>
    <w:rsid w:val="00373F3E"/>
    <w:rsid w:val="00374E2B"/>
    <w:rsid w:val="00375F7A"/>
    <w:rsid w:val="00376B07"/>
    <w:rsid w:val="0037715B"/>
    <w:rsid w:val="003778FA"/>
    <w:rsid w:val="003806DC"/>
    <w:rsid w:val="00381951"/>
    <w:rsid w:val="0038275B"/>
    <w:rsid w:val="00382CE1"/>
    <w:rsid w:val="003836A5"/>
    <w:rsid w:val="0038453C"/>
    <w:rsid w:val="00384CCF"/>
    <w:rsid w:val="00386A28"/>
    <w:rsid w:val="003902FC"/>
    <w:rsid w:val="0039177A"/>
    <w:rsid w:val="00393A5D"/>
    <w:rsid w:val="00393EE3"/>
    <w:rsid w:val="003951F7"/>
    <w:rsid w:val="00396D7C"/>
    <w:rsid w:val="003A0F07"/>
    <w:rsid w:val="003A1A49"/>
    <w:rsid w:val="003A355C"/>
    <w:rsid w:val="003A6244"/>
    <w:rsid w:val="003A64DF"/>
    <w:rsid w:val="003A7248"/>
    <w:rsid w:val="003B00B7"/>
    <w:rsid w:val="003B0584"/>
    <w:rsid w:val="003B1807"/>
    <w:rsid w:val="003B2162"/>
    <w:rsid w:val="003B2600"/>
    <w:rsid w:val="003B32BC"/>
    <w:rsid w:val="003B4733"/>
    <w:rsid w:val="003B4DE5"/>
    <w:rsid w:val="003B5067"/>
    <w:rsid w:val="003B72AE"/>
    <w:rsid w:val="003C1178"/>
    <w:rsid w:val="003C2761"/>
    <w:rsid w:val="003C2B39"/>
    <w:rsid w:val="003C3154"/>
    <w:rsid w:val="003C5A39"/>
    <w:rsid w:val="003C7AD6"/>
    <w:rsid w:val="003D1E6D"/>
    <w:rsid w:val="003D34DB"/>
    <w:rsid w:val="003D4920"/>
    <w:rsid w:val="003D5547"/>
    <w:rsid w:val="003E22F6"/>
    <w:rsid w:val="003E3E25"/>
    <w:rsid w:val="003E69C9"/>
    <w:rsid w:val="003F2A91"/>
    <w:rsid w:val="003F2C9B"/>
    <w:rsid w:val="003F2EFF"/>
    <w:rsid w:val="003F3068"/>
    <w:rsid w:val="003F4F0F"/>
    <w:rsid w:val="003F57AD"/>
    <w:rsid w:val="004011F1"/>
    <w:rsid w:val="00402A40"/>
    <w:rsid w:val="00404BBD"/>
    <w:rsid w:val="00405215"/>
    <w:rsid w:val="0040631C"/>
    <w:rsid w:val="004077F8"/>
    <w:rsid w:val="00407A80"/>
    <w:rsid w:val="00412426"/>
    <w:rsid w:val="00412469"/>
    <w:rsid w:val="0041288E"/>
    <w:rsid w:val="00412D80"/>
    <w:rsid w:val="0041353E"/>
    <w:rsid w:val="004140EF"/>
    <w:rsid w:val="00414B04"/>
    <w:rsid w:val="00414ECF"/>
    <w:rsid w:val="004157C7"/>
    <w:rsid w:val="00416F8E"/>
    <w:rsid w:val="00417426"/>
    <w:rsid w:val="00420EBA"/>
    <w:rsid w:val="00422BC6"/>
    <w:rsid w:val="00422F30"/>
    <w:rsid w:val="004236CA"/>
    <w:rsid w:val="0042707C"/>
    <w:rsid w:val="004342EC"/>
    <w:rsid w:val="004342F4"/>
    <w:rsid w:val="00434990"/>
    <w:rsid w:val="00436AEA"/>
    <w:rsid w:val="00436B3A"/>
    <w:rsid w:val="00440296"/>
    <w:rsid w:val="00442DD5"/>
    <w:rsid w:val="00443641"/>
    <w:rsid w:val="00444AE4"/>
    <w:rsid w:val="00444C55"/>
    <w:rsid w:val="004455D4"/>
    <w:rsid w:val="00446CA6"/>
    <w:rsid w:val="00451162"/>
    <w:rsid w:val="0045125F"/>
    <w:rsid w:val="00451C6A"/>
    <w:rsid w:val="00451D9C"/>
    <w:rsid w:val="004522E6"/>
    <w:rsid w:val="00454A38"/>
    <w:rsid w:val="0045567C"/>
    <w:rsid w:val="00455783"/>
    <w:rsid w:val="00463371"/>
    <w:rsid w:val="004641D5"/>
    <w:rsid w:val="0046470F"/>
    <w:rsid w:val="00466B6D"/>
    <w:rsid w:val="004702AC"/>
    <w:rsid w:val="00470A18"/>
    <w:rsid w:val="0047141F"/>
    <w:rsid w:val="004739C7"/>
    <w:rsid w:val="00480675"/>
    <w:rsid w:val="00480F3A"/>
    <w:rsid w:val="004819F8"/>
    <w:rsid w:val="00482D77"/>
    <w:rsid w:val="00486182"/>
    <w:rsid w:val="00486BCF"/>
    <w:rsid w:val="0049164C"/>
    <w:rsid w:val="00491C6E"/>
    <w:rsid w:val="004928B8"/>
    <w:rsid w:val="00492C99"/>
    <w:rsid w:val="004A237A"/>
    <w:rsid w:val="004A2C41"/>
    <w:rsid w:val="004A3C96"/>
    <w:rsid w:val="004A4FF6"/>
    <w:rsid w:val="004A592D"/>
    <w:rsid w:val="004A73F9"/>
    <w:rsid w:val="004B128D"/>
    <w:rsid w:val="004B1327"/>
    <w:rsid w:val="004B239C"/>
    <w:rsid w:val="004B29E2"/>
    <w:rsid w:val="004B62DF"/>
    <w:rsid w:val="004B6E78"/>
    <w:rsid w:val="004B72EE"/>
    <w:rsid w:val="004C0523"/>
    <w:rsid w:val="004C1750"/>
    <w:rsid w:val="004C1837"/>
    <w:rsid w:val="004C1F67"/>
    <w:rsid w:val="004C1F9C"/>
    <w:rsid w:val="004C2270"/>
    <w:rsid w:val="004C2DBF"/>
    <w:rsid w:val="004C3F25"/>
    <w:rsid w:val="004C4CEE"/>
    <w:rsid w:val="004C5482"/>
    <w:rsid w:val="004C5C7E"/>
    <w:rsid w:val="004C6A81"/>
    <w:rsid w:val="004C783C"/>
    <w:rsid w:val="004D06B0"/>
    <w:rsid w:val="004D26F2"/>
    <w:rsid w:val="004D58F3"/>
    <w:rsid w:val="004D5AC0"/>
    <w:rsid w:val="004D6264"/>
    <w:rsid w:val="004E07F8"/>
    <w:rsid w:val="004E2415"/>
    <w:rsid w:val="004E2C63"/>
    <w:rsid w:val="004E3992"/>
    <w:rsid w:val="004E4192"/>
    <w:rsid w:val="004E42FE"/>
    <w:rsid w:val="004E553F"/>
    <w:rsid w:val="004E5942"/>
    <w:rsid w:val="004F08C4"/>
    <w:rsid w:val="004F370E"/>
    <w:rsid w:val="004F5AB0"/>
    <w:rsid w:val="00500138"/>
    <w:rsid w:val="0050097E"/>
    <w:rsid w:val="00501684"/>
    <w:rsid w:val="00501A69"/>
    <w:rsid w:val="00502D8E"/>
    <w:rsid w:val="00502EC2"/>
    <w:rsid w:val="00504A27"/>
    <w:rsid w:val="00505287"/>
    <w:rsid w:val="00505AB9"/>
    <w:rsid w:val="0050616E"/>
    <w:rsid w:val="00507791"/>
    <w:rsid w:val="005108BF"/>
    <w:rsid w:val="00512E17"/>
    <w:rsid w:val="00513926"/>
    <w:rsid w:val="005159FE"/>
    <w:rsid w:val="005177BE"/>
    <w:rsid w:val="0052046B"/>
    <w:rsid w:val="00521949"/>
    <w:rsid w:val="00522EF7"/>
    <w:rsid w:val="00525F82"/>
    <w:rsid w:val="00526377"/>
    <w:rsid w:val="00526994"/>
    <w:rsid w:val="0053008F"/>
    <w:rsid w:val="00530ACF"/>
    <w:rsid w:val="005320F8"/>
    <w:rsid w:val="00535161"/>
    <w:rsid w:val="00535405"/>
    <w:rsid w:val="00540360"/>
    <w:rsid w:val="00540449"/>
    <w:rsid w:val="00540C50"/>
    <w:rsid w:val="00541410"/>
    <w:rsid w:val="005426B7"/>
    <w:rsid w:val="00542F15"/>
    <w:rsid w:val="00550411"/>
    <w:rsid w:val="00552067"/>
    <w:rsid w:val="00552571"/>
    <w:rsid w:val="005527D5"/>
    <w:rsid w:val="00554637"/>
    <w:rsid w:val="005548B9"/>
    <w:rsid w:val="005550EF"/>
    <w:rsid w:val="005602B3"/>
    <w:rsid w:val="0056095E"/>
    <w:rsid w:val="00561B4E"/>
    <w:rsid w:val="00562852"/>
    <w:rsid w:val="00562944"/>
    <w:rsid w:val="00562B0D"/>
    <w:rsid w:val="00563C0D"/>
    <w:rsid w:val="00565505"/>
    <w:rsid w:val="00567442"/>
    <w:rsid w:val="00570608"/>
    <w:rsid w:val="005710A3"/>
    <w:rsid w:val="005714C0"/>
    <w:rsid w:val="00573286"/>
    <w:rsid w:val="00577B71"/>
    <w:rsid w:val="00577E58"/>
    <w:rsid w:val="00585A49"/>
    <w:rsid w:val="005863E9"/>
    <w:rsid w:val="00586631"/>
    <w:rsid w:val="005903DA"/>
    <w:rsid w:val="00593467"/>
    <w:rsid w:val="00595176"/>
    <w:rsid w:val="00595B92"/>
    <w:rsid w:val="005A1AEA"/>
    <w:rsid w:val="005A277C"/>
    <w:rsid w:val="005A5E69"/>
    <w:rsid w:val="005B21CD"/>
    <w:rsid w:val="005B53C1"/>
    <w:rsid w:val="005B6A91"/>
    <w:rsid w:val="005C1143"/>
    <w:rsid w:val="005C180D"/>
    <w:rsid w:val="005C1A31"/>
    <w:rsid w:val="005C1A85"/>
    <w:rsid w:val="005C2B0A"/>
    <w:rsid w:val="005C527B"/>
    <w:rsid w:val="005C66A4"/>
    <w:rsid w:val="005C778B"/>
    <w:rsid w:val="005C7EED"/>
    <w:rsid w:val="005D0029"/>
    <w:rsid w:val="005D0686"/>
    <w:rsid w:val="005D07C9"/>
    <w:rsid w:val="005D4C63"/>
    <w:rsid w:val="005D6130"/>
    <w:rsid w:val="005D69EA"/>
    <w:rsid w:val="005D76CA"/>
    <w:rsid w:val="005D794B"/>
    <w:rsid w:val="005E155B"/>
    <w:rsid w:val="005E23A8"/>
    <w:rsid w:val="005E6756"/>
    <w:rsid w:val="005E77C5"/>
    <w:rsid w:val="005F00CF"/>
    <w:rsid w:val="005F010E"/>
    <w:rsid w:val="005F1064"/>
    <w:rsid w:val="005F16F5"/>
    <w:rsid w:val="005F3B66"/>
    <w:rsid w:val="005F5E91"/>
    <w:rsid w:val="0060018E"/>
    <w:rsid w:val="006023A1"/>
    <w:rsid w:val="00603989"/>
    <w:rsid w:val="006039A0"/>
    <w:rsid w:val="006075F1"/>
    <w:rsid w:val="006105E1"/>
    <w:rsid w:val="0061125A"/>
    <w:rsid w:val="006113A3"/>
    <w:rsid w:val="00613F06"/>
    <w:rsid w:val="00615DCE"/>
    <w:rsid w:val="00620C39"/>
    <w:rsid w:val="00622728"/>
    <w:rsid w:val="0062289B"/>
    <w:rsid w:val="00622E90"/>
    <w:rsid w:val="0062387C"/>
    <w:rsid w:val="00623A4D"/>
    <w:rsid w:val="006262CD"/>
    <w:rsid w:val="0062672B"/>
    <w:rsid w:val="00626C6D"/>
    <w:rsid w:val="006274D1"/>
    <w:rsid w:val="00630B7B"/>
    <w:rsid w:val="00635291"/>
    <w:rsid w:val="0063574C"/>
    <w:rsid w:val="0064076A"/>
    <w:rsid w:val="00641653"/>
    <w:rsid w:val="00643C32"/>
    <w:rsid w:val="00644166"/>
    <w:rsid w:val="00644C5B"/>
    <w:rsid w:val="00646202"/>
    <w:rsid w:val="0065391C"/>
    <w:rsid w:val="00654694"/>
    <w:rsid w:val="00656B45"/>
    <w:rsid w:val="00657AD7"/>
    <w:rsid w:val="00657D81"/>
    <w:rsid w:val="00663475"/>
    <w:rsid w:val="00667E2A"/>
    <w:rsid w:val="00670B08"/>
    <w:rsid w:val="00671FE4"/>
    <w:rsid w:val="00673741"/>
    <w:rsid w:val="00673E91"/>
    <w:rsid w:val="006749A8"/>
    <w:rsid w:val="00674A98"/>
    <w:rsid w:val="00674AB9"/>
    <w:rsid w:val="006756AE"/>
    <w:rsid w:val="0068019C"/>
    <w:rsid w:val="0068220E"/>
    <w:rsid w:val="00684C1A"/>
    <w:rsid w:val="00691A39"/>
    <w:rsid w:val="006949E4"/>
    <w:rsid w:val="00695E8B"/>
    <w:rsid w:val="006966E8"/>
    <w:rsid w:val="006A08EA"/>
    <w:rsid w:val="006A0C13"/>
    <w:rsid w:val="006A123F"/>
    <w:rsid w:val="006A20F2"/>
    <w:rsid w:val="006A2523"/>
    <w:rsid w:val="006A2947"/>
    <w:rsid w:val="006A34F6"/>
    <w:rsid w:val="006A3EB5"/>
    <w:rsid w:val="006A452A"/>
    <w:rsid w:val="006A4F45"/>
    <w:rsid w:val="006A6C7F"/>
    <w:rsid w:val="006B1C45"/>
    <w:rsid w:val="006B2C41"/>
    <w:rsid w:val="006B3C38"/>
    <w:rsid w:val="006C09FF"/>
    <w:rsid w:val="006C0F8C"/>
    <w:rsid w:val="006C1F1E"/>
    <w:rsid w:val="006C2057"/>
    <w:rsid w:val="006C28B2"/>
    <w:rsid w:val="006C382F"/>
    <w:rsid w:val="006C3B74"/>
    <w:rsid w:val="006C40FE"/>
    <w:rsid w:val="006C4430"/>
    <w:rsid w:val="006C5B31"/>
    <w:rsid w:val="006C6505"/>
    <w:rsid w:val="006C675A"/>
    <w:rsid w:val="006C7994"/>
    <w:rsid w:val="006D2613"/>
    <w:rsid w:val="006D390F"/>
    <w:rsid w:val="006D66C7"/>
    <w:rsid w:val="006D7B12"/>
    <w:rsid w:val="006D7C48"/>
    <w:rsid w:val="006E0E5C"/>
    <w:rsid w:val="006E1503"/>
    <w:rsid w:val="006E1DAF"/>
    <w:rsid w:val="006E4430"/>
    <w:rsid w:val="006E4581"/>
    <w:rsid w:val="006E46AA"/>
    <w:rsid w:val="006F0A3F"/>
    <w:rsid w:val="006F106B"/>
    <w:rsid w:val="006F1B98"/>
    <w:rsid w:val="006F3AA8"/>
    <w:rsid w:val="006F4610"/>
    <w:rsid w:val="006F65D7"/>
    <w:rsid w:val="006F6E70"/>
    <w:rsid w:val="006F7017"/>
    <w:rsid w:val="006F789B"/>
    <w:rsid w:val="006F7CF3"/>
    <w:rsid w:val="00701122"/>
    <w:rsid w:val="00702C43"/>
    <w:rsid w:val="00705FCF"/>
    <w:rsid w:val="00707A23"/>
    <w:rsid w:val="0071028F"/>
    <w:rsid w:val="007124BA"/>
    <w:rsid w:val="00712B9C"/>
    <w:rsid w:val="00713D2E"/>
    <w:rsid w:val="00713E16"/>
    <w:rsid w:val="00714087"/>
    <w:rsid w:val="007142C0"/>
    <w:rsid w:val="00714BCF"/>
    <w:rsid w:val="007168E5"/>
    <w:rsid w:val="00721D0D"/>
    <w:rsid w:val="00724F3D"/>
    <w:rsid w:val="00725B1D"/>
    <w:rsid w:val="00725EF8"/>
    <w:rsid w:val="007302BF"/>
    <w:rsid w:val="0073383C"/>
    <w:rsid w:val="00734E43"/>
    <w:rsid w:val="007361C5"/>
    <w:rsid w:val="00740D5F"/>
    <w:rsid w:val="007417F3"/>
    <w:rsid w:val="00742982"/>
    <w:rsid w:val="00742D1A"/>
    <w:rsid w:val="00746662"/>
    <w:rsid w:val="00746C6D"/>
    <w:rsid w:val="00747BF3"/>
    <w:rsid w:val="00754018"/>
    <w:rsid w:val="00754B61"/>
    <w:rsid w:val="00757B44"/>
    <w:rsid w:val="00762324"/>
    <w:rsid w:val="007632E5"/>
    <w:rsid w:val="00764CDF"/>
    <w:rsid w:val="00765213"/>
    <w:rsid w:val="007665F1"/>
    <w:rsid w:val="00766DA1"/>
    <w:rsid w:val="00771F9C"/>
    <w:rsid w:val="00772B65"/>
    <w:rsid w:val="00772FE0"/>
    <w:rsid w:val="007743BA"/>
    <w:rsid w:val="00777687"/>
    <w:rsid w:val="007831D5"/>
    <w:rsid w:val="00785BDF"/>
    <w:rsid w:val="00786636"/>
    <w:rsid w:val="007868DF"/>
    <w:rsid w:val="00786E9F"/>
    <w:rsid w:val="00790031"/>
    <w:rsid w:val="007912B9"/>
    <w:rsid w:val="00791591"/>
    <w:rsid w:val="0079199E"/>
    <w:rsid w:val="007A09EB"/>
    <w:rsid w:val="007A131D"/>
    <w:rsid w:val="007A139B"/>
    <w:rsid w:val="007A28FB"/>
    <w:rsid w:val="007A2D30"/>
    <w:rsid w:val="007A4B8E"/>
    <w:rsid w:val="007A7AD2"/>
    <w:rsid w:val="007A7B13"/>
    <w:rsid w:val="007A7E17"/>
    <w:rsid w:val="007B0C14"/>
    <w:rsid w:val="007B4D0D"/>
    <w:rsid w:val="007B6A9F"/>
    <w:rsid w:val="007C0B58"/>
    <w:rsid w:val="007C4418"/>
    <w:rsid w:val="007C4441"/>
    <w:rsid w:val="007D0B7A"/>
    <w:rsid w:val="007D34A4"/>
    <w:rsid w:val="007D558A"/>
    <w:rsid w:val="007D55EC"/>
    <w:rsid w:val="007D5EF2"/>
    <w:rsid w:val="007D6DEC"/>
    <w:rsid w:val="007D78E5"/>
    <w:rsid w:val="007E0F14"/>
    <w:rsid w:val="007E154A"/>
    <w:rsid w:val="007E3FA6"/>
    <w:rsid w:val="007E5229"/>
    <w:rsid w:val="007E5B6A"/>
    <w:rsid w:val="007E5D7A"/>
    <w:rsid w:val="007E6A93"/>
    <w:rsid w:val="007E6E17"/>
    <w:rsid w:val="007F10BB"/>
    <w:rsid w:val="007F1495"/>
    <w:rsid w:val="007F19B7"/>
    <w:rsid w:val="007F1FD4"/>
    <w:rsid w:val="007F53F2"/>
    <w:rsid w:val="007F5CB5"/>
    <w:rsid w:val="007F6597"/>
    <w:rsid w:val="007F71A9"/>
    <w:rsid w:val="007F7B1C"/>
    <w:rsid w:val="0080063B"/>
    <w:rsid w:val="00801A55"/>
    <w:rsid w:val="00802046"/>
    <w:rsid w:val="00804DB8"/>
    <w:rsid w:val="00810E9B"/>
    <w:rsid w:val="0081304A"/>
    <w:rsid w:val="00813C6F"/>
    <w:rsid w:val="00814956"/>
    <w:rsid w:val="00814C20"/>
    <w:rsid w:val="00815691"/>
    <w:rsid w:val="008176C7"/>
    <w:rsid w:val="00820025"/>
    <w:rsid w:val="00822386"/>
    <w:rsid w:val="008244E1"/>
    <w:rsid w:val="00825F1D"/>
    <w:rsid w:val="00830DD9"/>
    <w:rsid w:val="00831413"/>
    <w:rsid w:val="00832D22"/>
    <w:rsid w:val="0083370A"/>
    <w:rsid w:val="008339CE"/>
    <w:rsid w:val="00835B9D"/>
    <w:rsid w:val="008363F8"/>
    <w:rsid w:val="00836CB4"/>
    <w:rsid w:val="00841097"/>
    <w:rsid w:val="008410B9"/>
    <w:rsid w:val="008422B2"/>
    <w:rsid w:val="008424A4"/>
    <w:rsid w:val="00843C45"/>
    <w:rsid w:val="00844051"/>
    <w:rsid w:val="0084420C"/>
    <w:rsid w:val="008442F2"/>
    <w:rsid w:val="0084541A"/>
    <w:rsid w:val="00845480"/>
    <w:rsid w:val="008460DE"/>
    <w:rsid w:val="008468F3"/>
    <w:rsid w:val="00846BE3"/>
    <w:rsid w:val="00850129"/>
    <w:rsid w:val="00852A8D"/>
    <w:rsid w:val="00852BC0"/>
    <w:rsid w:val="00853E28"/>
    <w:rsid w:val="00855FEF"/>
    <w:rsid w:val="008615CF"/>
    <w:rsid w:val="00861709"/>
    <w:rsid w:val="0086256E"/>
    <w:rsid w:val="00863692"/>
    <w:rsid w:val="008651F2"/>
    <w:rsid w:val="00865572"/>
    <w:rsid w:val="0086683B"/>
    <w:rsid w:val="008700EE"/>
    <w:rsid w:val="008702E2"/>
    <w:rsid w:val="00870C20"/>
    <w:rsid w:val="00871FB5"/>
    <w:rsid w:val="008722EA"/>
    <w:rsid w:val="00872A4D"/>
    <w:rsid w:val="00873FA6"/>
    <w:rsid w:val="008753BF"/>
    <w:rsid w:val="00876206"/>
    <w:rsid w:val="008771B5"/>
    <w:rsid w:val="008803FF"/>
    <w:rsid w:val="00883E46"/>
    <w:rsid w:val="00885806"/>
    <w:rsid w:val="00886872"/>
    <w:rsid w:val="00886BB8"/>
    <w:rsid w:val="008917A8"/>
    <w:rsid w:val="00891AB8"/>
    <w:rsid w:val="008921C9"/>
    <w:rsid w:val="0089256B"/>
    <w:rsid w:val="00893DE8"/>
    <w:rsid w:val="008A22C4"/>
    <w:rsid w:val="008A258E"/>
    <w:rsid w:val="008A2D6F"/>
    <w:rsid w:val="008A36A6"/>
    <w:rsid w:val="008A511E"/>
    <w:rsid w:val="008A5B3A"/>
    <w:rsid w:val="008A7D57"/>
    <w:rsid w:val="008B0FC4"/>
    <w:rsid w:val="008B1AC0"/>
    <w:rsid w:val="008B1B6F"/>
    <w:rsid w:val="008B2416"/>
    <w:rsid w:val="008B33C0"/>
    <w:rsid w:val="008B4533"/>
    <w:rsid w:val="008B4957"/>
    <w:rsid w:val="008B5683"/>
    <w:rsid w:val="008B6B8D"/>
    <w:rsid w:val="008B6C80"/>
    <w:rsid w:val="008B7D5D"/>
    <w:rsid w:val="008B7F1F"/>
    <w:rsid w:val="008B7F7F"/>
    <w:rsid w:val="008C0381"/>
    <w:rsid w:val="008C0584"/>
    <w:rsid w:val="008C08C1"/>
    <w:rsid w:val="008C16C7"/>
    <w:rsid w:val="008C1B5F"/>
    <w:rsid w:val="008C26FE"/>
    <w:rsid w:val="008C2F6A"/>
    <w:rsid w:val="008C36A0"/>
    <w:rsid w:val="008C4B13"/>
    <w:rsid w:val="008C7F23"/>
    <w:rsid w:val="008D390E"/>
    <w:rsid w:val="008D3D41"/>
    <w:rsid w:val="008D3E35"/>
    <w:rsid w:val="008D40DE"/>
    <w:rsid w:val="008D4151"/>
    <w:rsid w:val="008D4847"/>
    <w:rsid w:val="008D6489"/>
    <w:rsid w:val="008D74F3"/>
    <w:rsid w:val="008D7CD5"/>
    <w:rsid w:val="008E02BB"/>
    <w:rsid w:val="008E1529"/>
    <w:rsid w:val="008E1FDE"/>
    <w:rsid w:val="008E3EC8"/>
    <w:rsid w:val="008E585B"/>
    <w:rsid w:val="008E7AE6"/>
    <w:rsid w:val="008F010C"/>
    <w:rsid w:val="008F0BB3"/>
    <w:rsid w:val="008F0C52"/>
    <w:rsid w:val="008F176E"/>
    <w:rsid w:val="008F69DE"/>
    <w:rsid w:val="008F7228"/>
    <w:rsid w:val="008F7DB2"/>
    <w:rsid w:val="00902D00"/>
    <w:rsid w:val="00903409"/>
    <w:rsid w:val="009056C1"/>
    <w:rsid w:val="0090670C"/>
    <w:rsid w:val="00907479"/>
    <w:rsid w:val="009076B6"/>
    <w:rsid w:val="009119CD"/>
    <w:rsid w:val="00913FE4"/>
    <w:rsid w:val="0091431B"/>
    <w:rsid w:val="009202D8"/>
    <w:rsid w:val="00920EF4"/>
    <w:rsid w:val="0092136D"/>
    <w:rsid w:val="0092235E"/>
    <w:rsid w:val="00922690"/>
    <w:rsid w:val="00923B96"/>
    <w:rsid w:val="00924AB9"/>
    <w:rsid w:val="00924F7B"/>
    <w:rsid w:val="00926873"/>
    <w:rsid w:val="00932225"/>
    <w:rsid w:val="00932B71"/>
    <w:rsid w:val="00932C88"/>
    <w:rsid w:val="0093345B"/>
    <w:rsid w:val="009355DA"/>
    <w:rsid w:val="00942758"/>
    <w:rsid w:val="00942B82"/>
    <w:rsid w:val="00945087"/>
    <w:rsid w:val="009458F7"/>
    <w:rsid w:val="0094789B"/>
    <w:rsid w:val="00950BB3"/>
    <w:rsid w:val="0095252F"/>
    <w:rsid w:val="00952B75"/>
    <w:rsid w:val="0095391D"/>
    <w:rsid w:val="009545D5"/>
    <w:rsid w:val="009552A5"/>
    <w:rsid w:val="00962933"/>
    <w:rsid w:val="009636E1"/>
    <w:rsid w:val="00963C92"/>
    <w:rsid w:val="00964061"/>
    <w:rsid w:val="00966837"/>
    <w:rsid w:val="009678F2"/>
    <w:rsid w:val="00973817"/>
    <w:rsid w:val="0097545A"/>
    <w:rsid w:val="00975B1A"/>
    <w:rsid w:val="009762F4"/>
    <w:rsid w:val="0097758E"/>
    <w:rsid w:val="00977D6A"/>
    <w:rsid w:val="00981AF6"/>
    <w:rsid w:val="0098246E"/>
    <w:rsid w:val="009837C6"/>
    <w:rsid w:val="009838A0"/>
    <w:rsid w:val="00984346"/>
    <w:rsid w:val="00985406"/>
    <w:rsid w:val="009856AE"/>
    <w:rsid w:val="009869DF"/>
    <w:rsid w:val="00987898"/>
    <w:rsid w:val="0099017D"/>
    <w:rsid w:val="0099149F"/>
    <w:rsid w:val="00992C91"/>
    <w:rsid w:val="009935DE"/>
    <w:rsid w:val="0099410A"/>
    <w:rsid w:val="009976BF"/>
    <w:rsid w:val="009A4354"/>
    <w:rsid w:val="009A563B"/>
    <w:rsid w:val="009A63CD"/>
    <w:rsid w:val="009A6C2C"/>
    <w:rsid w:val="009B1CB1"/>
    <w:rsid w:val="009B24FC"/>
    <w:rsid w:val="009B350D"/>
    <w:rsid w:val="009B4206"/>
    <w:rsid w:val="009B48E7"/>
    <w:rsid w:val="009B650E"/>
    <w:rsid w:val="009C3349"/>
    <w:rsid w:val="009C4C9E"/>
    <w:rsid w:val="009C56F4"/>
    <w:rsid w:val="009C6017"/>
    <w:rsid w:val="009C7664"/>
    <w:rsid w:val="009D02A3"/>
    <w:rsid w:val="009D2BD1"/>
    <w:rsid w:val="009D2E20"/>
    <w:rsid w:val="009D3BD9"/>
    <w:rsid w:val="009D5042"/>
    <w:rsid w:val="009D50C7"/>
    <w:rsid w:val="009D612C"/>
    <w:rsid w:val="009D7212"/>
    <w:rsid w:val="009E08A4"/>
    <w:rsid w:val="009E258A"/>
    <w:rsid w:val="009E32B6"/>
    <w:rsid w:val="009E4112"/>
    <w:rsid w:val="009E4AB0"/>
    <w:rsid w:val="009E77E0"/>
    <w:rsid w:val="009F0560"/>
    <w:rsid w:val="009F168A"/>
    <w:rsid w:val="009F3472"/>
    <w:rsid w:val="009F3818"/>
    <w:rsid w:val="009F44A1"/>
    <w:rsid w:val="009F4A7A"/>
    <w:rsid w:val="009F4E3D"/>
    <w:rsid w:val="00A01B54"/>
    <w:rsid w:val="00A01CA5"/>
    <w:rsid w:val="00A01CFB"/>
    <w:rsid w:val="00A10D26"/>
    <w:rsid w:val="00A12448"/>
    <w:rsid w:val="00A137D4"/>
    <w:rsid w:val="00A15EF2"/>
    <w:rsid w:val="00A16C2A"/>
    <w:rsid w:val="00A222D5"/>
    <w:rsid w:val="00A22B5E"/>
    <w:rsid w:val="00A233F3"/>
    <w:rsid w:val="00A23AB4"/>
    <w:rsid w:val="00A258BD"/>
    <w:rsid w:val="00A25E82"/>
    <w:rsid w:val="00A26B2E"/>
    <w:rsid w:val="00A2717A"/>
    <w:rsid w:val="00A27794"/>
    <w:rsid w:val="00A27801"/>
    <w:rsid w:val="00A27BFC"/>
    <w:rsid w:val="00A32760"/>
    <w:rsid w:val="00A33F15"/>
    <w:rsid w:val="00A34F3D"/>
    <w:rsid w:val="00A36671"/>
    <w:rsid w:val="00A36A5B"/>
    <w:rsid w:val="00A36CC3"/>
    <w:rsid w:val="00A40D1B"/>
    <w:rsid w:val="00A46084"/>
    <w:rsid w:val="00A47963"/>
    <w:rsid w:val="00A47B7E"/>
    <w:rsid w:val="00A5022D"/>
    <w:rsid w:val="00A517B9"/>
    <w:rsid w:val="00A532BF"/>
    <w:rsid w:val="00A55735"/>
    <w:rsid w:val="00A57751"/>
    <w:rsid w:val="00A60A38"/>
    <w:rsid w:val="00A610DC"/>
    <w:rsid w:val="00A63197"/>
    <w:rsid w:val="00A6343F"/>
    <w:rsid w:val="00A66185"/>
    <w:rsid w:val="00A70A23"/>
    <w:rsid w:val="00A70EBA"/>
    <w:rsid w:val="00A73722"/>
    <w:rsid w:val="00A77991"/>
    <w:rsid w:val="00A80788"/>
    <w:rsid w:val="00A81922"/>
    <w:rsid w:val="00A8249E"/>
    <w:rsid w:val="00A830BC"/>
    <w:rsid w:val="00A833ED"/>
    <w:rsid w:val="00A83621"/>
    <w:rsid w:val="00A84AB2"/>
    <w:rsid w:val="00A8506D"/>
    <w:rsid w:val="00A8526E"/>
    <w:rsid w:val="00A85CCB"/>
    <w:rsid w:val="00A86A81"/>
    <w:rsid w:val="00A9001F"/>
    <w:rsid w:val="00A9092F"/>
    <w:rsid w:val="00A90F01"/>
    <w:rsid w:val="00A93AF3"/>
    <w:rsid w:val="00A95769"/>
    <w:rsid w:val="00AA4E23"/>
    <w:rsid w:val="00AA56DB"/>
    <w:rsid w:val="00AA59EF"/>
    <w:rsid w:val="00AB1BE6"/>
    <w:rsid w:val="00AB5831"/>
    <w:rsid w:val="00AB5FB1"/>
    <w:rsid w:val="00AC14AB"/>
    <w:rsid w:val="00AC2961"/>
    <w:rsid w:val="00AC2F52"/>
    <w:rsid w:val="00AC3D17"/>
    <w:rsid w:val="00AC3E56"/>
    <w:rsid w:val="00AC5259"/>
    <w:rsid w:val="00AC5CE1"/>
    <w:rsid w:val="00AC7AAF"/>
    <w:rsid w:val="00AD1966"/>
    <w:rsid w:val="00AD3656"/>
    <w:rsid w:val="00AD4018"/>
    <w:rsid w:val="00AD498B"/>
    <w:rsid w:val="00AD7425"/>
    <w:rsid w:val="00AE523D"/>
    <w:rsid w:val="00AE5FC3"/>
    <w:rsid w:val="00AE7890"/>
    <w:rsid w:val="00AE7B0D"/>
    <w:rsid w:val="00AF1F7A"/>
    <w:rsid w:val="00AF205A"/>
    <w:rsid w:val="00AF45A9"/>
    <w:rsid w:val="00AF686C"/>
    <w:rsid w:val="00AF7E2C"/>
    <w:rsid w:val="00B01DDE"/>
    <w:rsid w:val="00B033B7"/>
    <w:rsid w:val="00B05A0F"/>
    <w:rsid w:val="00B063C7"/>
    <w:rsid w:val="00B07D97"/>
    <w:rsid w:val="00B10FFC"/>
    <w:rsid w:val="00B119A0"/>
    <w:rsid w:val="00B16506"/>
    <w:rsid w:val="00B165FA"/>
    <w:rsid w:val="00B173F3"/>
    <w:rsid w:val="00B220B5"/>
    <w:rsid w:val="00B23829"/>
    <w:rsid w:val="00B23C31"/>
    <w:rsid w:val="00B258DE"/>
    <w:rsid w:val="00B260BF"/>
    <w:rsid w:val="00B31B46"/>
    <w:rsid w:val="00B321F8"/>
    <w:rsid w:val="00B328FB"/>
    <w:rsid w:val="00B338D8"/>
    <w:rsid w:val="00B33A95"/>
    <w:rsid w:val="00B342C8"/>
    <w:rsid w:val="00B34967"/>
    <w:rsid w:val="00B3592E"/>
    <w:rsid w:val="00B36097"/>
    <w:rsid w:val="00B363A6"/>
    <w:rsid w:val="00B370BD"/>
    <w:rsid w:val="00B37758"/>
    <w:rsid w:val="00B37BBE"/>
    <w:rsid w:val="00B40013"/>
    <w:rsid w:val="00B410BA"/>
    <w:rsid w:val="00B41E37"/>
    <w:rsid w:val="00B4582C"/>
    <w:rsid w:val="00B45EEC"/>
    <w:rsid w:val="00B46042"/>
    <w:rsid w:val="00B4627E"/>
    <w:rsid w:val="00B464F8"/>
    <w:rsid w:val="00B50D70"/>
    <w:rsid w:val="00B50EC3"/>
    <w:rsid w:val="00B518EB"/>
    <w:rsid w:val="00B5225D"/>
    <w:rsid w:val="00B526B6"/>
    <w:rsid w:val="00B54350"/>
    <w:rsid w:val="00B54849"/>
    <w:rsid w:val="00B54B50"/>
    <w:rsid w:val="00B57ED6"/>
    <w:rsid w:val="00B60634"/>
    <w:rsid w:val="00B61783"/>
    <w:rsid w:val="00B63955"/>
    <w:rsid w:val="00B64F28"/>
    <w:rsid w:val="00B64FFA"/>
    <w:rsid w:val="00B66006"/>
    <w:rsid w:val="00B6607E"/>
    <w:rsid w:val="00B67849"/>
    <w:rsid w:val="00B70F64"/>
    <w:rsid w:val="00B72E41"/>
    <w:rsid w:val="00B7317C"/>
    <w:rsid w:val="00B73A65"/>
    <w:rsid w:val="00B73C12"/>
    <w:rsid w:val="00B76248"/>
    <w:rsid w:val="00B767C3"/>
    <w:rsid w:val="00B768F3"/>
    <w:rsid w:val="00B77024"/>
    <w:rsid w:val="00B77F1D"/>
    <w:rsid w:val="00B80F06"/>
    <w:rsid w:val="00B81DE9"/>
    <w:rsid w:val="00B81E07"/>
    <w:rsid w:val="00B87CBD"/>
    <w:rsid w:val="00B91023"/>
    <w:rsid w:val="00B93385"/>
    <w:rsid w:val="00B93E8A"/>
    <w:rsid w:val="00B941C9"/>
    <w:rsid w:val="00B948E7"/>
    <w:rsid w:val="00B9543C"/>
    <w:rsid w:val="00B956D4"/>
    <w:rsid w:val="00B95802"/>
    <w:rsid w:val="00B96476"/>
    <w:rsid w:val="00B973BC"/>
    <w:rsid w:val="00B97552"/>
    <w:rsid w:val="00BA00A2"/>
    <w:rsid w:val="00BA09F9"/>
    <w:rsid w:val="00BA3362"/>
    <w:rsid w:val="00BA3E70"/>
    <w:rsid w:val="00BA41B6"/>
    <w:rsid w:val="00BA5E76"/>
    <w:rsid w:val="00BA6C87"/>
    <w:rsid w:val="00BB0BEB"/>
    <w:rsid w:val="00BB38E9"/>
    <w:rsid w:val="00BB4497"/>
    <w:rsid w:val="00BB44D0"/>
    <w:rsid w:val="00BB56D1"/>
    <w:rsid w:val="00BB59F7"/>
    <w:rsid w:val="00BB6414"/>
    <w:rsid w:val="00BB753F"/>
    <w:rsid w:val="00BC3D38"/>
    <w:rsid w:val="00BC4353"/>
    <w:rsid w:val="00BC4891"/>
    <w:rsid w:val="00BC65C4"/>
    <w:rsid w:val="00BC6A51"/>
    <w:rsid w:val="00BC6D14"/>
    <w:rsid w:val="00BC768E"/>
    <w:rsid w:val="00BC7C98"/>
    <w:rsid w:val="00BD0476"/>
    <w:rsid w:val="00BD0FB6"/>
    <w:rsid w:val="00BD3EA2"/>
    <w:rsid w:val="00BD4052"/>
    <w:rsid w:val="00BD4918"/>
    <w:rsid w:val="00BD59EF"/>
    <w:rsid w:val="00BD6805"/>
    <w:rsid w:val="00BE14C8"/>
    <w:rsid w:val="00BE1759"/>
    <w:rsid w:val="00BE1B50"/>
    <w:rsid w:val="00BE1FC7"/>
    <w:rsid w:val="00BE2129"/>
    <w:rsid w:val="00BE25A7"/>
    <w:rsid w:val="00BE545F"/>
    <w:rsid w:val="00BE63B2"/>
    <w:rsid w:val="00BE6EF4"/>
    <w:rsid w:val="00BF0FF6"/>
    <w:rsid w:val="00BF247C"/>
    <w:rsid w:val="00BF2865"/>
    <w:rsid w:val="00BF3BD2"/>
    <w:rsid w:val="00BF3CCF"/>
    <w:rsid w:val="00BF5246"/>
    <w:rsid w:val="00BF53C8"/>
    <w:rsid w:val="00BF54AC"/>
    <w:rsid w:val="00C00E56"/>
    <w:rsid w:val="00C03144"/>
    <w:rsid w:val="00C0366E"/>
    <w:rsid w:val="00C05619"/>
    <w:rsid w:val="00C05BAE"/>
    <w:rsid w:val="00C1082B"/>
    <w:rsid w:val="00C10C2D"/>
    <w:rsid w:val="00C10C4C"/>
    <w:rsid w:val="00C15811"/>
    <w:rsid w:val="00C2038E"/>
    <w:rsid w:val="00C2139A"/>
    <w:rsid w:val="00C24EB5"/>
    <w:rsid w:val="00C2679C"/>
    <w:rsid w:val="00C26CB0"/>
    <w:rsid w:val="00C26E08"/>
    <w:rsid w:val="00C271E2"/>
    <w:rsid w:val="00C313F2"/>
    <w:rsid w:val="00C352D0"/>
    <w:rsid w:val="00C3530E"/>
    <w:rsid w:val="00C41D36"/>
    <w:rsid w:val="00C45812"/>
    <w:rsid w:val="00C4666C"/>
    <w:rsid w:val="00C46C43"/>
    <w:rsid w:val="00C479BE"/>
    <w:rsid w:val="00C517CC"/>
    <w:rsid w:val="00C52404"/>
    <w:rsid w:val="00C524E2"/>
    <w:rsid w:val="00C54428"/>
    <w:rsid w:val="00C54DAC"/>
    <w:rsid w:val="00C54DF6"/>
    <w:rsid w:val="00C56C13"/>
    <w:rsid w:val="00C57583"/>
    <w:rsid w:val="00C60151"/>
    <w:rsid w:val="00C60176"/>
    <w:rsid w:val="00C615D3"/>
    <w:rsid w:val="00C61F3F"/>
    <w:rsid w:val="00C65A74"/>
    <w:rsid w:val="00C6655B"/>
    <w:rsid w:val="00C6740A"/>
    <w:rsid w:val="00C67AA2"/>
    <w:rsid w:val="00C71A3D"/>
    <w:rsid w:val="00C730F7"/>
    <w:rsid w:val="00C75D11"/>
    <w:rsid w:val="00C77981"/>
    <w:rsid w:val="00C823D2"/>
    <w:rsid w:val="00C83AAB"/>
    <w:rsid w:val="00C85FC7"/>
    <w:rsid w:val="00C879CA"/>
    <w:rsid w:val="00C90FA8"/>
    <w:rsid w:val="00C91665"/>
    <w:rsid w:val="00C9173E"/>
    <w:rsid w:val="00C91BBB"/>
    <w:rsid w:val="00C91F40"/>
    <w:rsid w:val="00C9286E"/>
    <w:rsid w:val="00C92973"/>
    <w:rsid w:val="00C92DAE"/>
    <w:rsid w:val="00C933A2"/>
    <w:rsid w:val="00C93A17"/>
    <w:rsid w:val="00C95A18"/>
    <w:rsid w:val="00C95C7E"/>
    <w:rsid w:val="00CA028B"/>
    <w:rsid w:val="00CA11A9"/>
    <w:rsid w:val="00CA373B"/>
    <w:rsid w:val="00CA4F0E"/>
    <w:rsid w:val="00CA60AD"/>
    <w:rsid w:val="00CA73D9"/>
    <w:rsid w:val="00CB214E"/>
    <w:rsid w:val="00CB3355"/>
    <w:rsid w:val="00CB47D0"/>
    <w:rsid w:val="00CB5E29"/>
    <w:rsid w:val="00CC0A41"/>
    <w:rsid w:val="00CC236A"/>
    <w:rsid w:val="00CC5B49"/>
    <w:rsid w:val="00CC62D3"/>
    <w:rsid w:val="00CC6A49"/>
    <w:rsid w:val="00CC6B50"/>
    <w:rsid w:val="00CD19D7"/>
    <w:rsid w:val="00CD24F0"/>
    <w:rsid w:val="00CD3436"/>
    <w:rsid w:val="00CD4271"/>
    <w:rsid w:val="00CD7140"/>
    <w:rsid w:val="00CD7656"/>
    <w:rsid w:val="00CE16D5"/>
    <w:rsid w:val="00CE3E78"/>
    <w:rsid w:val="00CE4D0C"/>
    <w:rsid w:val="00CE4E42"/>
    <w:rsid w:val="00CE4F09"/>
    <w:rsid w:val="00CE6AC3"/>
    <w:rsid w:val="00CE779C"/>
    <w:rsid w:val="00CE786E"/>
    <w:rsid w:val="00CF1D8B"/>
    <w:rsid w:val="00CF3EA0"/>
    <w:rsid w:val="00CF424F"/>
    <w:rsid w:val="00CF427A"/>
    <w:rsid w:val="00CF61B0"/>
    <w:rsid w:val="00CF74B7"/>
    <w:rsid w:val="00D0079C"/>
    <w:rsid w:val="00D03661"/>
    <w:rsid w:val="00D03ACC"/>
    <w:rsid w:val="00D04F57"/>
    <w:rsid w:val="00D05B88"/>
    <w:rsid w:val="00D05EF9"/>
    <w:rsid w:val="00D1039B"/>
    <w:rsid w:val="00D11646"/>
    <w:rsid w:val="00D12746"/>
    <w:rsid w:val="00D12C14"/>
    <w:rsid w:val="00D134DB"/>
    <w:rsid w:val="00D15D59"/>
    <w:rsid w:val="00D2238F"/>
    <w:rsid w:val="00D245E5"/>
    <w:rsid w:val="00D259ED"/>
    <w:rsid w:val="00D27EB7"/>
    <w:rsid w:val="00D3010E"/>
    <w:rsid w:val="00D3020A"/>
    <w:rsid w:val="00D3184A"/>
    <w:rsid w:val="00D33C23"/>
    <w:rsid w:val="00D3606A"/>
    <w:rsid w:val="00D3698E"/>
    <w:rsid w:val="00D36A2C"/>
    <w:rsid w:val="00D43130"/>
    <w:rsid w:val="00D4613A"/>
    <w:rsid w:val="00D467E1"/>
    <w:rsid w:val="00D470C9"/>
    <w:rsid w:val="00D51905"/>
    <w:rsid w:val="00D52000"/>
    <w:rsid w:val="00D5216E"/>
    <w:rsid w:val="00D53895"/>
    <w:rsid w:val="00D542BA"/>
    <w:rsid w:val="00D5433B"/>
    <w:rsid w:val="00D56C9C"/>
    <w:rsid w:val="00D5702F"/>
    <w:rsid w:val="00D62B76"/>
    <w:rsid w:val="00D64A87"/>
    <w:rsid w:val="00D71386"/>
    <w:rsid w:val="00D721D9"/>
    <w:rsid w:val="00D7348C"/>
    <w:rsid w:val="00D75052"/>
    <w:rsid w:val="00D855AE"/>
    <w:rsid w:val="00D8649F"/>
    <w:rsid w:val="00D86A68"/>
    <w:rsid w:val="00D92D25"/>
    <w:rsid w:val="00DA0190"/>
    <w:rsid w:val="00DA2AC1"/>
    <w:rsid w:val="00DA4A1B"/>
    <w:rsid w:val="00DA4ECF"/>
    <w:rsid w:val="00DA55D0"/>
    <w:rsid w:val="00DA751B"/>
    <w:rsid w:val="00DB0FC4"/>
    <w:rsid w:val="00DB1E12"/>
    <w:rsid w:val="00DB2E0B"/>
    <w:rsid w:val="00DB35F9"/>
    <w:rsid w:val="00DB6D8C"/>
    <w:rsid w:val="00DB737D"/>
    <w:rsid w:val="00DB7FA8"/>
    <w:rsid w:val="00DC099C"/>
    <w:rsid w:val="00DC0BA9"/>
    <w:rsid w:val="00DC1A89"/>
    <w:rsid w:val="00DC1C9F"/>
    <w:rsid w:val="00DC2F58"/>
    <w:rsid w:val="00DC6869"/>
    <w:rsid w:val="00DC6A81"/>
    <w:rsid w:val="00DC6BC9"/>
    <w:rsid w:val="00DC7143"/>
    <w:rsid w:val="00DC776C"/>
    <w:rsid w:val="00DD074F"/>
    <w:rsid w:val="00DD0917"/>
    <w:rsid w:val="00DD35E0"/>
    <w:rsid w:val="00DD419F"/>
    <w:rsid w:val="00DE1878"/>
    <w:rsid w:val="00DE19F1"/>
    <w:rsid w:val="00DE30AC"/>
    <w:rsid w:val="00DE58FC"/>
    <w:rsid w:val="00DE7EA7"/>
    <w:rsid w:val="00DF045E"/>
    <w:rsid w:val="00DF0814"/>
    <w:rsid w:val="00DF0F44"/>
    <w:rsid w:val="00DF2F8E"/>
    <w:rsid w:val="00DF45A9"/>
    <w:rsid w:val="00DF6421"/>
    <w:rsid w:val="00DF7625"/>
    <w:rsid w:val="00E024B5"/>
    <w:rsid w:val="00E03FD7"/>
    <w:rsid w:val="00E058FC"/>
    <w:rsid w:val="00E07342"/>
    <w:rsid w:val="00E1345B"/>
    <w:rsid w:val="00E13594"/>
    <w:rsid w:val="00E136FB"/>
    <w:rsid w:val="00E143CA"/>
    <w:rsid w:val="00E15B97"/>
    <w:rsid w:val="00E1622A"/>
    <w:rsid w:val="00E17A97"/>
    <w:rsid w:val="00E17D62"/>
    <w:rsid w:val="00E220E6"/>
    <w:rsid w:val="00E23EBE"/>
    <w:rsid w:val="00E26A51"/>
    <w:rsid w:val="00E26BD9"/>
    <w:rsid w:val="00E27045"/>
    <w:rsid w:val="00E27856"/>
    <w:rsid w:val="00E335C0"/>
    <w:rsid w:val="00E33E5D"/>
    <w:rsid w:val="00E3442B"/>
    <w:rsid w:val="00E3554A"/>
    <w:rsid w:val="00E35A70"/>
    <w:rsid w:val="00E35FAB"/>
    <w:rsid w:val="00E35FE8"/>
    <w:rsid w:val="00E362A4"/>
    <w:rsid w:val="00E36A94"/>
    <w:rsid w:val="00E37A6D"/>
    <w:rsid w:val="00E4366E"/>
    <w:rsid w:val="00E43F02"/>
    <w:rsid w:val="00E4430A"/>
    <w:rsid w:val="00E456AE"/>
    <w:rsid w:val="00E45FAC"/>
    <w:rsid w:val="00E47A77"/>
    <w:rsid w:val="00E50893"/>
    <w:rsid w:val="00E5332C"/>
    <w:rsid w:val="00E53BFD"/>
    <w:rsid w:val="00E54FA2"/>
    <w:rsid w:val="00E5517E"/>
    <w:rsid w:val="00E55744"/>
    <w:rsid w:val="00E564AF"/>
    <w:rsid w:val="00E56660"/>
    <w:rsid w:val="00E56920"/>
    <w:rsid w:val="00E60585"/>
    <w:rsid w:val="00E6208E"/>
    <w:rsid w:val="00E6332E"/>
    <w:rsid w:val="00E63E66"/>
    <w:rsid w:val="00E64FAD"/>
    <w:rsid w:val="00E6565F"/>
    <w:rsid w:val="00E65A6A"/>
    <w:rsid w:val="00E668A3"/>
    <w:rsid w:val="00E72CE5"/>
    <w:rsid w:val="00E750E1"/>
    <w:rsid w:val="00E754D6"/>
    <w:rsid w:val="00E75622"/>
    <w:rsid w:val="00E817B7"/>
    <w:rsid w:val="00E82113"/>
    <w:rsid w:val="00E86ABD"/>
    <w:rsid w:val="00E900EA"/>
    <w:rsid w:val="00E91B12"/>
    <w:rsid w:val="00E93A5C"/>
    <w:rsid w:val="00E95705"/>
    <w:rsid w:val="00E96B0E"/>
    <w:rsid w:val="00EA0B56"/>
    <w:rsid w:val="00EA19B7"/>
    <w:rsid w:val="00EA1CB1"/>
    <w:rsid w:val="00EA2502"/>
    <w:rsid w:val="00EA28C8"/>
    <w:rsid w:val="00EA2914"/>
    <w:rsid w:val="00EA3C5B"/>
    <w:rsid w:val="00EA4C41"/>
    <w:rsid w:val="00EA56B9"/>
    <w:rsid w:val="00EA7E51"/>
    <w:rsid w:val="00EB0139"/>
    <w:rsid w:val="00EB0A65"/>
    <w:rsid w:val="00EB0B52"/>
    <w:rsid w:val="00EB31B2"/>
    <w:rsid w:val="00EB3497"/>
    <w:rsid w:val="00EB3BA5"/>
    <w:rsid w:val="00EB49F9"/>
    <w:rsid w:val="00EB5215"/>
    <w:rsid w:val="00EB67A3"/>
    <w:rsid w:val="00EC04E1"/>
    <w:rsid w:val="00EC05AD"/>
    <w:rsid w:val="00EC1ACE"/>
    <w:rsid w:val="00EC256C"/>
    <w:rsid w:val="00EC3A21"/>
    <w:rsid w:val="00EC3A22"/>
    <w:rsid w:val="00EC3F2F"/>
    <w:rsid w:val="00EC5C4E"/>
    <w:rsid w:val="00EC6F15"/>
    <w:rsid w:val="00EC7AC7"/>
    <w:rsid w:val="00ED3EBA"/>
    <w:rsid w:val="00ED41F7"/>
    <w:rsid w:val="00ED5A5C"/>
    <w:rsid w:val="00ED5C85"/>
    <w:rsid w:val="00ED75A6"/>
    <w:rsid w:val="00ED76A1"/>
    <w:rsid w:val="00EE361C"/>
    <w:rsid w:val="00EE429A"/>
    <w:rsid w:val="00EE5F8D"/>
    <w:rsid w:val="00EE7340"/>
    <w:rsid w:val="00EE7A49"/>
    <w:rsid w:val="00EE7BF4"/>
    <w:rsid w:val="00EF08F0"/>
    <w:rsid w:val="00EF4D5F"/>
    <w:rsid w:val="00EF4DB5"/>
    <w:rsid w:val="00EF5545"/>
    <w:rsid w:val="00EF5775"/>
    <w:rsid w:val="00EF585D"/>
    <w:rsid w:val="00EF5BDD"/>
    <w:rsid w:val="00F0057C"/>
    <w:rsid w:val="00F01064"/>
    <w:rsid w:val="00F01AC3"/>
    <w:rsid w:val="00F01D15"/>
    <w:rsid w:val="00F01EE0"/>
    <w:rsid w:val="00F02FBD"/>
    <w:rsid w:val="00F0570A"/>
    <w:rsid w:val="00F059C3"/>
    <w:rsid w:val="00F07084"/>
    <w:rsid w:val="00F11128"/>
    <w:rsid w:val="00F11610"/>
    <w:rsid w:val="00F11A51"/>
    <w:rsid w:val="00F13C61"/>
    <w:rsid w:val="00F14E21"/>
    <w:rsid w:val="00F15C8B"/>
    <w:rsid w:val="00F174B8"/>
    <w:rsid w:val="00F17F67"/>
    <w:rsid w:val="00F234DB"/>
    <w:rsid w:val="00F23F11"/>
    <w:rsid w:val="00F24E10"/>
    <w:rsid w:val="00F3040B"/>
    <w:rsid w:val="00F30E3F"/>
    <w:rsid w:val="00F30EE3"/>
    <w:rsid w:val="00F31365"/>
    <w:rsid w:val="00F3163D"/>
    <w:rsid w:val="00F31693"/>
    <w:rsid w:val="00F33210"/>
    <w:rsid w:val="00F352CD"/>
    <w:rsid w:val="00F366B6"/>
    <w:rsid w:val="00F37181"/>
    <w:rsid w:val="00F42167"/>
    <w:rsid w:val="00F430B7"/>
    <w:rsid w:val="00F4314C"/>
    <w:rsid w:val="00F44BF3"/>
    <w:rsid w:val="00F461B7"/>
    <w:rsid w:val="00F46F1A"/>
    <w:rsid w:val="00F53DAC"/>
    <w:rsid w:val="00F543D8"/>
    <w:rsid w:val="00F54672"/>
    <w:rsid w:val="00F54E70"/>
    <w:rsid w:val="00F5519B"/>
    <w:rsid w:val="00F572E1"/>
    <w:rsid w:val="00F57F5C"/>
    <w:rsid w:val="00F65769"/>
    <w:rsid w:val="00F6660E"/>
    <w:rsid w:val="00F66708"/>
    <w:rsid w:val="00F67A4F"/>
    <w:rsid w:val="00F71F27"/>
    <w:rsid w:val="00F72747"/>
    <w:rsid w:val="00F72E09"/>
    <w:rsid w:val="00F742B0"/>
    <w:rsid w:val="00F75482"/>
    <w:rsid w:val="00F7626F"/>
    <w:rsid w:val="00F767E8"/>
    <w:rsid w:val="00F769B4"/>
    <w:rsid w:val="00F80D5A"/>
    <w:rsid w:val="00F843D4"/>
    <w:rsid w:val="00F86372"/>
    <w:rsid w:val="00F86DE4"/>
    <w:rsid w:val="00F90A73"/>
    <w:rsid w:val="00F965DA"/>
    <w:rsid w:val="00F96CE4"/>
    <w:rsid w:val="00FA1A29"/>
    <w:rsid w:val="00FA2123"/>
    <w:rsid w:val="00FA3730"/>
    <w:rsid w:val="00FA3802"/>
    <w:rsid w:val="00FA399D"/>
    <w:rsid w:val="00FA4A97"/>
    <w:rsid w:val="00FA5F5F"/>
    <w:rsid w:val="00FB1B21"/>
    <w:rsid w:val="00FB273A"/>
    <w:rsid w:val="00FB78C6"/>
    <w:rsid w:val="00FC1A96"/>
    <w:rsid w:val="00FD0407"/>
    <w:rsid w:val="00FD0BC1"/>
    <w:rsid w:val="00FD4FAF"/>
    <w:rsid w:val="00FD5D44"/>
    <w:rsid w:val="00FE02C5"/>
    <w:rsid w:val="00FE31EE"/>
    <w:rsid w:val="00FE6A72"/>
    <w:rsid w:val="00FE71D2"/>
    <w:rsid w:val="00FF0E83"/>
    <w:rsid w:val="00FF166B"/>
    <w:rsid w:val="00FF17A9"/>
    <w:rsid w:val="00FF6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FA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2FC"/>
  </w:style>
  <w:style w:type="paragraph" w:styleId="Heading1">
    <w:name w:val="heading 1"/>
    <w:basedOn w:val="Normal"/>
    <w:next w:val="Normal"/>
    <w:link w:val="Heading1Char"/>
    <w:uiPriority w:val="9"/>
    <w:qFormat/>
    <w:rsid w:val="001F5D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5D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5D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D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5D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5D19"/>
    <w:rPr>
      <w:rFonts w:asciiTheme="majorHAnsi" w:eastAsiaTheme="majorEastAsia" w:hAnsiTheme="majorHAnsi" w:cstheme="majorBidi"/>
      <w:b/>
      <w:bCs/>
      <w:color w:val="4F81BD" w:themeColor="accent1"/>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F5D19"/>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F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F5D19"/>
    <w:pPr>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rsid w:val="001F5D19"/>
    <w:rPr>
      <w:rFonts w:ascii="Arial" w:eastAsia="Times New Roman" w:hAnsi="Arial" w:cs="Arial"/>
      <w:szCs w:val="24"/>
    </w:rPr>
  </w:style>
  <w:style w:type="paragraph" w:styleId="BodyText3">
    <w:name w:val="Body Text 3"/>
    <w:basedOn w:val="Normal"/>
    <w:link w:val="BodyText3Char"/>
    <w:rsid w:val="001F5D19"/>
    <w:pPr>
      <w:spacing w:after="0" w:line="240" w:lineRule="auto"/>
      <w:jc w:val="both"/>
    </w:pPr>
    <w:rPr>
      <w:rFonts w:ascii="Arial" w:eastAsia="Times New Roman" w:hAnsi="Arial" w:cs="Arial"/>
      <w:szCs w:val="24"/>
    </w:rPr>
  </w:style>
  <w:style w:type="character" w:customStyle="1" w:styleId="BodyText3Char">
    <w:name w:val="Body Text 3 Char"/>
    <w:basedOn w:val="DefaultParagraphFont"/>
    <w:link w:val="BodyText3"/>
    <w:rsid w:val="001F5D19"/>
    <w:rPr>
      <w:rFonts w:ascii="Arial" w:eastAsia="Times New Roman" w:hAnsi="Arial" w:cs="Arial"/>
      <w:szCs w:val="24"/>
    </w:rPr>
  </w:style>
  <w:style w:type="paragraph" w:styleId="BalloonText">
    <w:name w:val="Balloon Text"/>
    <w:basedOn w:val="Normal"/>
    <w:link w:val="BalloonTextChar"/>
    <w:uiPriority w:val="99"/>
    <w:semiHidden/>
    <w:unhideWhenUsed/>
    <w:rsid w:val="001F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D19"/>
    <w:rPr>
      <w:rFonts w:ascii="Tahoma" w:hAnsi="Tahoma" w:cs="Tahoma"/>
      <w:sz w:val="16"/>
      <w:szCs w:val="1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F5D19"/>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F5D19"/>
    <w:rPr>
      <w:sz w:val="18"/>
      <w:szCs w:val="18"/>
    </w:rPr>
  </w:style>
  <w:style w:type="paragraph" w:styleId="CommentText">
    <w:name w:val="annotation text"/>
    <w:basedOn w:val="Normal"/>
    <w:link w:val="CommentTextChar"/>
    <w:uiPriority w:val="99"/>
    <w:semiHidden/>
    <w:unhideWhenUsed/>
    <w:rsid w:val="001F5D19"/>
    <w:pPr>
      <w:spacing w:line="240" w:lineRule="auto"/>
    </w:pPr>
    <w:rPr>
      <w:sz w:val="24"/>
      <w:szCs w:val="24"/>
    </w:rPr>
  </w:style>
  <w:style w:type="character" w:customStyle="1" w:styleId="CommentTextChar">
    <w:name w:val="Comment Text Char"/>
    <w:basedOn w:val="DefaultParagraphFont"/>
    <w:link w:val="CommentText"/>
    <w:uiPriority w:val="99"/>
    <w:semiHidden/>
    <w:rsid w:val="001F5D19"/>
    <w:rPr>
      <w:sz w:val="24"/>
      <w:szCs w:val="24"/>
    </w:rPr>
  </w:style>
  <w:style w:type="paragraph" w:styleId="CommentSubject">
    <w:name w:val="annotation subject"/>
    <w:basedOn w:val="CommentText"/>
    <w:next w:val="CommentText"/>
    <w:link w:val="CommentSubjectChar"/>
    <w:uiPriority w:val="99"/>
    <w:semiHidden/>
    <w:unhideWhenUsed/>
    <w:rsid w:val="001F5D19"/>
    <w:rPr>
      <w:b/>
      <w:bCs/>
      <w:sz w:val="20"/>
      <w:szCs w:val="20"/>
    </w:rPr>
  </w:style>
  <w:style w:type="character" w:customStyle="1" w:styleId="CommentSubjectChar">
    <w:name w:val="Comment Subject Char"/>
    <w:basedOn w:val="CommentTextChar"/>
    <w:link w:val="CommentSubject"/>
    <w:uiPriority w:val="99"/>
    <w:semiHidden/>
    <w:rsid w:val="001F5D19"/>
    <w:rPr>
      <w:b/>
      <w:bCs/>
      <w:sz w:val="20"/>
      <w:szCs w:val="20"/>
    </w:rPr>
  </w:style>
  <w:style w:type="paragraph" w:styleId="Revision">
    <w:name w:val="Revision"/>
    <w:hidden/>
    <w:uiPriority w:val="99"/>
    <w:semiHidden/>
    <w:rsid w:val="001F5D19"/>
    <w:pPr>
      <w:spacing w:after="0" w:line="240" w:lineRule="auto"/>
    </w:pPr>
  </w:style>
  <w:style w:type="paragraph" w:styleId="PlainText">
    <w:name w:val="Plain Text"/>
    <w:basedOn w:val="Normal"/>
    <w:link w:val="PlainTextChar"/>
    <w:uiPriority w:val="99"/>
    <w:unhideWhenUsed/>
    <w:rsid w:val="001F5D1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F5D19"/>
    <w:rPr>
      <w:rFonts w:ascii="Calibri" w:hAnsi="Calibri"/>
      <w:szCs w:val="21"/>
    </w:rPr>
  </w:style>
  <w:style w:type="paragraph" w:styleId="Header">
    <w:name w:val="header"/>
    <w:basedOn w:val="Normal"/>
    <w:link w:val="HeaderChar"/>
    <w:uiPriority w:val="99"/>
    <w:unhideWhenUsed/>
    <w:rsid w:val="001F5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D19"/>
  </w:style>
  <w:style w:type="paragraph" w:styleId="Footer">
    <w:name w:val="footer"/>
    <w:basedOn w:val="Normal"/>
    <w:link w:val="FooterChar"/>
    <w:uiPriority w:val="99"/>
    <w:unhideWhenUsed/>
    <w:rsid w:val="001F5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D19"/>
  </w:style>
  <w:style w:type="paragraph" w:styleId="TOCHeading">
    <w:name w:val="TOC Heading"/>
    <w:basedOn w:val="Heading1"/>
    <w:next w:val="Normal"/>
    <w:uiPriority w:val="39"/>
    <w:semiHidden/>
    <w:unhideWhenUsed/>
    <w:qFormat/>
    <w:rsid w:val="001F5D19"/>
    <w:pPr>
      <w:outlineLvl w:val="9"/>
    </w:pPr>
    <w:rPr>
      <w:lang w:val="en-US" w:eastAsia="ja-JP"/>
    </w:rPr>
  </w:style>
  <w:style w:type="paragraph" w:styleId="TOC1">
    <w:name w:val="toc 1"/>
    <w:basedOn w:val="Normal"/>
    <w:next w:val="Normal"/>
    <w:autoRedefine/>
    <w:uiPriority w:val="39"/>
    <w:unhideWhenUsed/>
    <w:qFormat/>
    <w:rsid w:val="009A6C2C"/>
    <w:pPr>
      <w:tabs>
        <w:tab w:val="left" w:pos="440"/>
        <w:tab w:val="right" w:leader="dot" w:pos="9016"/>
      </w:tabs>
      <w:spacing w:after="100"/>
      <w:ind w:left="426" w:hanging="426"/>
    </w:pPr>
  </w:style>
  <w:style w:type="paragraph" w:styleId="TOC2">
    <w:name w:val="toc 2"/>
    <w:basedOn w:val="Normal"/>
    <w:next w:val="Normal"/>
    <w:autoRedefine/>
    <w:uiPriority w:val="39"/>
    <w:unhideWhenUsed/>
    <w:qFormat/>
    <w:rsid w:val="001F5D19"/>
    <w:pPr>
      <w:tabs>
        <w:tab w:val="right" w:leader="dot" w:pos="9016"/>
      </w:tabs>
      <w:spacing w:after="100"/>
    </w:pPr>
    <w:rPr>
      <w:rFonts w:ascii="Arial" w:hAnsi="Arial" w:cs="Arial"/>
      <w:noProof/>
      <w:sz w:val="24"/>
      <w:szCs w:val="24"/>
    </w:rPr>
  </w:style>
  <w:style w:type="character" w:styleId="Hyperlink">
    <w:name w:val="Hyperlink"/>
    <w:basedOn w:val="DefaultParagraphFont"/>
    <w:uiPriority w:val="99"/>
    <w:unhideWhenUsed/>
    <w:rsid w:val="001F5D19"/>
    <w:rPr>
      <w:color w:val="0000FF" w:themeColor="hyperlink"/>
      <w:u w:val="single"/>
    </w:rPr>
  </w:style>
  <w:style w:type="paragraph" w:styleId="FootnoteText">
    <w:name w:val="footnote text"/>
    <w:basedOn w:val="Normal"/>
    <w:link w:val="FootnoteTextChar"/>
    <w:uiPriority w:val="99"/>
    <w:semiHidden/>
    <w:unhideWhenUsed/>
    <w:rsid w:val="001F5D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D19"/>
    <w:rPr>
      <w:sz w:val="20"/>
      <w:szCs w:val="20"/>
    </w:rPr>
  </w:style>
  <w:style w:type="character" w:styleId="FootnoteReference">
    <w:name w:val="footnote reference"/>
    <w:basedOn w:val="DefaultParagraphFont"/>
    <w:uiPriority w:val="99"/>
    <w:unhideWhenUsed/>
    <w:rsid w:val="001F5D19"/>
    <w:rPr>
      <w:vertAlign w:val="superscript"/>
    </w:rPr>
  </w:style>
  <w:style w:type="character" w:styleId="Strong">
    <w:name w:val="Strong"/>
    <w:basedOn w:val="DefaultParagraphFont"/>
    <w:uiPriority w:val="22"/>
    <w:qFormat/>
    <w:rsid w:val="001F5D19"/>
    <w:rPr>
      <w:b/>
      <w:bCs/>
      <w:sz w:val="24"/>
      <w:szCs w:val="24"/>
      <w:bdr w:val="none" w:sz="0" w:space="0" w:color="auto" w:frame="1"/>
      <w:vertAlign w:val="baseline"/>
    </w:rPr>
  </w:style>
  <w:style w:type="character" w:styleId="FollowedHyperlink">
    <w:name w:val="FollowedHyperlink"/>
    <w:basedOn w:val="DefaultParagraphFont"/>
    <w:uiPriority w:val="99"/>
    <w:semiHidden/>
    <w:unhideWhenUsed/>
    <w:rsid w:val="001F5D19"/>
    <w:rPr>
      <w:color w:val="800080" w:themeColor="followedHyperlink"/>
      <w:u w:val="single"/>
    </w:rPr>
  </w:style>
  <w:style w:type="paragraph" w:styleId="TOC3">
    <w:name w:val="toc 3"/>
    <w:basedOn w:val="Normal"/>
    <w:next w:val="Normal"/>
    <w:autoRedefine/>
    <w:uiPriority w:val="39"/>
    <w:unhideWhenUsed/>
    <w:qFormat/>
    <w:rsid w:val="001F5D19"/>
    <w:pPr>
      <w:spacing w:after="100"/>
      <w:ind w:left="440"/>
    </w:pPr>
    <w:rPr>
      <w:rFonts w:eastAsiaTheme="minorEastAsia"/>
      <w:lang w:val="en-US" w:eastAsia="ja-JP"/>
    </w:rPr>
  </w:style>
  <w:style w:type="table" w:customStyle="1" w:styleId="TableGrid1">
    <w:name w:val="Table Grid1"/>
    <w:basedOn w:val="TableNormal"/>
    <w:next w:val="TableGrid"/>
    <w:uiPriority w:val="59"/>
    <w:rsid w:val="001F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F5D19"/>
    <w:pPr>
      <w:numPr>
        <w:numId w:val="1"/>
      </w:numPr>
      <w:contextualSpacing/>
    </w:pPr>
  </w:style>
  <w:style w:type="paragraph" w:styleId="ListNumber">
    <w:name w:val="List Number"/>
    <w:basedOn w:val="Normal"/>
    <w:uiPriority w:val="99"/>
    <w:unhideWhenUsed/>
    <w:rsid w:val="001F5D19"/>
    <w:pPr>
      <w:numPr>
        <w:numId w:val="2"/>
      </w:numPr>
      <w:contextualSpacing/>
    </w:pPr>
  </w:style>
  <w:style w:type="paragraph" w:styleId="Title">
    <w:name w:val="Title"/>
    <w:basedOn w:val="Normal"/>
    <w:next w:val="Normal"/>
    <w:link w:val="TitleChar"/>
    <w:uiPriority w:val="10"/>
    <w:qFormat/>
    <w:rsid w:val="001F5D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5D19"/>
    <w:rPr>
      <w:rFonts w:asciiTheme="majorHAnsi" w:eastAsiaTheme="majorEastAsia" w:hAnsiTheme="majorHAnsi" w:cstheme="majorBidi"/>
      <w:color w:val="17365D" w:themeColor="text2" w:themeShade="BF"/>
      <w:spacing w:val="5"/>
      <w:kern w:val="28"/>
      <w:sz w:val="52"/>
      <w:szCs w:val="52"/>
    </w:rPr>
  </w:style>
  <w:style w:type="paragraph" w:customStyle="1" w:styleId="Heading41">
    <w:name w:val="Heading 41"/>
    <w:basedOn w:val="Normal"/>
    <w:next w:val="Normal"/>
    <w:uiPriority w:val="9"/>
    <w:semiHidden/>
    <w:unhideWhenUsed/>
    <w:qFormat/>
    <w:rsid w:val="001F5D19"/>
    <w:pPr>
      <w:keepNext/>
      <w:keepLines/>
      <w:spacing w:before="200" w:after="0" w:line="240" w:lineRule="auto"/>
      <w:ind w:left="720" w:hanging="720"/>
      <w:outlineLvl w:val="3"/>
    </w:pPr>
    <w:rPr>
      <w:rFonts w:ascii="Cambria" w:eastAsia="MS Gothic" w:hAnsi="Cambria" w:cs="Times New Roman"/>
      <w:b/>
      <w:i/>
      <w:iCs/>
      <w:color w:val="0072C6"/>
      <w:sz w:val="24"/>
      <w:szCs w:val="26"/>
    </w:rPr>
  </w:style>
  <w:style w:type="paragraph" w:customStyle="1" w:styleId="Heading51">
    <w:name w:val="Heading 51"/>
    <w:basedOn w:val="Normal"/>
    <w:next w:val="Normal"/>
    <w:uiPriority w:val="9"/>
    <w:semiHidden/>
    <w:unhideWhenUsed/>
    <w:qFormat/>
    <w:rsid w:val="001F5D19"/>
    <w:pPr>
      <w:keepNext/>
      <w:keepLines/>
      <w:spacing w:before="200" w:after="0" w:line="240" w:lineRule="auto"/>
      <w:ind w:left="1080" w:hanging="1080"/>
      <w:outlineLvl w:val="4"/>
    </w:pPr>
    <w:rPr>
      <w:rFonts w:ascii="Cambria" w:eastAsia="MS Gothic" w:hAnsi="Cambria" w:cs="Times New Roman"/>
      <w:bCs/>
      <w:color w:val="003862"/>
      <w:sz w:val="24"/>
      <w:szCs w:val="26"/>
    </w:rPr>
  </w:style>
  <w:style w:type="paragraph" w:customStyle="1" w:styleId="Heading61">
    <w:name w:val="Heading 61"/>
    <w:basedOn w:val="Normal"/>
    <w:next w:val="Normal"/>
    <w:uiPriority w:val="9"/>
    <w:semiHidden/>
    <w:unhideWhenUsed/>
    <w:qFormat/>
    <w:rsid w:val="001F5D19"/>
    <w:pPr>
      <w:keepNext/>
      <w:keepLines/>
      <w:spacing w:before="200" w:after="0" w:line="240" w:lineRule="auto"/>
      <w:ind w:left="1080" w:hanging="1080"/>
      <w:outlineLvl w:val="5"/>
    </w:pPr>
    <w:rPr>
      <w:rFonts w:ascii="Cambria" w:eastAsia="MS Gothic" w:hAnsi="Cambria" w:cs="Times New Roman"/>
      <w:bCs/>
      <w:i/>
      <w:iCs/>
      <w:color w:val="003862"/>
      <w:sz w:val="24"/>
      <w:szCs w:val="26"/>
    </w:rPr>
  </w:style>
  <w:style w:type="paragraph" w:customStyle="1" w:styleId="Heading71">
    <w:name w:val="Heading 71"/>
    <w:basedOn w:val="Normal"/>
    <w:next w:val="Normal"/>
    <w:uiPriority w:val="9"/>
    <w:semiHidden/>
    <w:unhideWhenUsed/>
    <w:qFormat/>
    <w:rsid w:val="001F5D19"/>
    <w:pPr>
      <w:keepNext/>
      <w:keepLines/>
      <w:spacing w:before="200" w:after="0" w:line="240" w:lineRule="auto"/>
      <w:ind w:left="1440" w:hanging="1440"/>
      <w:outlineLvl w:val="6"/>
    </w:pPr>
    <w:rPr>
      <w:rFonts w:ascii="Cambria" w:eastAsia="MS Gothic" w:hAnsi="Cambria" w:cs="Times New Roman"/>
      <w:bCs/>
      <w:i/>
      <w:iCs/>
      <w:color w:val="404040"/>
      <w:sz w:val="24"/>
      <w:szCs w:val="26"/>
    </w:rPr>
  </w:style>
  <w:style w:type="paragraph" w:customStyle="1" w:styleId="Heading81">
    <w:name w:val="Heading 81"/>
    <w:basedOn w:val="Normal"/>
    <w:next w:val="Normal"/>
    <w:uiPriority w:val="9"/>
    <w:semiHidden/>
    <w:unhideWhenUsed/>
    <w:qFormat/>
    <w:rsid w:val="001F5D19"/>
    <w:pPr>
      <w:keepNext/>
      <w:keepLines/>
      <w:spacing w:before="200" w:after="0" w:line="240" w:lineRule="auto"/>
      <w:ind w:left="1440" w:hanging="1440"/>
      <w:outlineLvl w:val="7"/>
    </w:pPr>
    <w:rPr>
      <w:rFonts w:ascii="Cambria" w:eastAsia="MS Gothic" w:hAnsi="Cambria" w:cs="Times New Roman"/>
      <w:bCs/>
      <w:color w:val="404040"/>
      <w:sz w:val="20"/>
      <w:szCs w:val="20"/>
    </w:rPr>
  </w:style>
  <w:style w:type="paragraph" w:customStyle="1" w:styleId="Heading91">
    <w:name w:val="Heading 91"/>
    <w:basedOn w:val="Normal"/>
    <w:next w:val="Normal"/>
    <w:uiPriority w:val="9"/>
    <w:semiHidden/>
    <w:unhideWhenUsed/>
    <w:qFormat/>
    <w:rsid w:val="001F5D19"/>
    <w:pPr>
      <w:keepNext/>
      <w:keepLines/>
      <w:spacing w:before="200" w:after="0" w:line="240" w:lineRule="auto"/>
      <w:ind w:left="1800" w:hanging="1800"/>
      <w:outlineLvl w:val="8"/>
    </w:pPr>
    <w:rPr>
      <w:rFonts w:ascii="Cambria" w:eastAsia="MS Gothic" w:hAnsi="Cambria" w:cs="Times New Roman"/>
      <w:bCs/>
      <w:i/>
      <w:iCs/>
      <w:color w:val="404040"/>
      <w:sz w:val="20"/>
      <w:szCs w:val="20"/>
    </w:rPr>
  </w:style>
  <w:style w:type="paragraph" w:customStyle="1" w:styleId="DocumentDate">
    <w:name w:val="Document Date"/>
    <w:basedOn w:val="Normal"/>
    <w:qFormat/>
    <w:rsid w:val="001F5D19"/>
    <w:pPr>
      <w:spacing w:after="0" w:line="240" w:lineRule="auto"/>
    </w:pPr>
    <w:rPr>
      <w:rFonts w:ascii="Arial" w:hAnsi="Arial"/>
      <w:color w:val="005B9C"/>
      <w:sz w:val="20"/>
      <w:szCs w:val="24"/>
    </w:rPr>
  </w:style>
  <w:style w:type="table" w:customStyle="1" w:styleId="TableGrid2">
    <w:name w:val="Table Grid2"/>
    <w:basedOn w:val="TableNormal"/>
    <w:next w:val="TableGrid"/>
    <w:uiPriority w:val="59"/>
    <w:rsid w:val="001F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F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2BD1"/>
    <w:rPr>
      <w:rFonts w:ascii="Times New Roman" w:hAnsi="Times New Roman" w:cs="Times New Roman"/>
      <w:sz w:val="24"/>
      <w:szCs w:val="24"/>
    </w:rPr>
  </w:style>
  <w:style w:type="table" w:customStyle="1" w:styleId="TableGrid21">
    <w:name w:val="Table Grid21"/>
    <w:basedOn w:val="TableNormal"/>
    <w:next w:val="TableGrid"/>
    <w:uiPriority w:val="59"/>
    <w:rsid w:val="00157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57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40176"/>
    <w:pPr>
      <w:widowControl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507791"/>
    <w:pPr>
      <w:autoSpaceDE w:val="0"/>
      <w:autoSpaceDN w:val="0"/>
      <w:adjustRightInd w:val="0"/>
      <w:spacing w:after="0" w:line="241" w:lineRule="atLeast"/>
    </w:pPr>
    <w:rPr>
      <w:rFonts w:ascii="Frutiger 45 Light" w:eastAsia="HGSMinchoE" w:hAnsi="Frutiger 45 Light" w:cs="Times New Roman"/>
      <w:sz w:val="24"/>
      <w:szCs w:val="24"/>
      <w:lang w:eastAsia="en-GB"/>
    </w:rPr>
  </w:style>
  <w:style w:type="table" w:customStyle="1" w:styleId="TableGrid5">
    <w:name w:val="Table Grid5"/>
    <w:basedOn w:val="TableNormal"/>
    <w:next w:val="TableGrid"/>
    <w:uiPriority w:val="59"/>
    <w:rsid w:val="00D75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F1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2FC"/>
  </w:style>
  <w:style w:type="paragraph" w:styleId="Heading1">
    <w:name w:val="heading 1"/>
    <w:basedOn w:val="Normal"/>
    <w:next w:val="Normal"/>
    <w:link w:val="Heading1Char"/>
    <w:uiPriority w:val="9"/>
    <w:qFormat/>
    <w:rsid w:val="001F5D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5D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5D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D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5D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5D19"/>
    <w:rPr>
      <w:rFonts w:asciiTheme="majorHAnsi" w:eastAsiaTheme="majorEastAsia" w:hAnsiTheme="majorHAnsi" w:cstheme="majorBidi"/>
      <w:b/>
      <w:bCs/>
      <w:color w:val="4F81BD" w:themeColor="accent1"/>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F5D19"/>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F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F5D19"/>
    <w:pPr>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rsid w:val="001F5D19"/>
    <w:rPr>
      <w:rFonts w:ascii="Arial" w:eastAsia="Times New Roman" w:hAnsi="Arial" w:cs="Arial"/>
      <w:szCs w:val="24"/>
    </w:rPr>
  </w:style>
  <w:style w:type="paragraph" w:styleId="BodyText3">
    <w:name w:val="Body Text 3"/>
    <w:basedOn w:val="Normal"/>
    <w:link w:val="BodyText3Char"/>
    <w:rsid w:val="001F5D19"/>
    <w:pPr>
      <w:spacing w:after="0" w:line="240" w:lineRule="auto"/>
      <w:jc w:val="both"/>
    </w:pPr>
    <w:rPr>
      <w:rFonts w:ascii="Arial" w:eastAsia="Times New Roman" w:hAnsi="Arial" w:cs="Arial"/>
      <w:szCs w:val="24"/>
    </w:rPr>
  </w:style>
  <w:style w:type="character" w:customStyle="1" w:styleId="BodyText3Char">
    <w:name w:val="Body Text 3 Char"/>
    <w:basedOn w:val="DefaultParagraphFont"/>
    <w:link w:val="BodyText3"/>
    <w:rsid w:val="001F5D19"/>
    <w:rPr>
      <w:rFonts w:ascii="Arial" w:eastAsia="Times New Roman" w:hAnsi="Arial" w:cs="Arial"/>
      <w:szCs w:val="24"/>
    </w:rPr>
  </w:style>
  <w:style w:type="paragraph" w:styleId="BalloonText">
    <w:name w:val="Balloon Text"/>
    <w:basedOn w:val="Normal"/>
    <w:link w:val="BalloonTextChar"/>
    <w:uiPriority w:val="99"/>
    <w:semiHidden/>
    <w:unhideWhenUsed/>
    <w:rsid w:val="001F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D19"/>
    <w:rPr>
      <w:rFonts w:ascii="Tahoma" w:hAnsi="Tahoma" w:cs="Tahoma"/>
      <w:sz w:val="16"/>
      <w:szCs w:val="1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F5D19"/>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F5D19"/>
    <w:rPr>
      <w:sz w:val="18"/>
      <w:szCs w:val="18"/>
    </w:rPr>
  </w:style>
  <w:style w:type="paragraph" w:styleId="CommentText">
    <w:name w:val="annotation text"/>
    <w:basedOn w:val="Normal"/>
    <w:link w:val="CommentTextChar"/>
    <w:uiPriority w:val="99"/>
    <w:semiHidden/>
    <w:unhideWhenUsed/>
    <w:rsid w:val="001F5D19"/>
    <w:pPr>
      <w:spacing w:line="240" w:lineRule="auto"/>
    </w:pPr>
    <w:rPr>
      <w:sz w:val="24"/>
      <w:szCs w:val="24"/>
    </w:rPr>
  </w:style>
  <w:style w:type="character" w:customStyle="1" w:styleId="CommentTextChar">
    <w:name w:val="Comment Text Char"/>
    <w:basedOn w:val="DefaultParagraphFont"/>
    <w:link w:val="CommentText"/>
    <w:uiPriority w:val="99"/>
    <w:semiHidden/>
    <w:rsid w:val="001F5D19"/>
    <w:rPr>
      <w:sz w:val="24"/>
      <w:szCs w:val="24"/>
    </w:rPr>
  </w:style>
  <w:style w:type="paragraph" w:styleId="CommentSubject">
    <w:name w:val="annotation subject"/>
    <w:basedOn w:val="CommentText"/>
    <w:next w:val="CommentText"/>
    <w:link w:val="CommentSubjectChar"/>
    <w:uiPriority w:val="99"/>
    <w:semiHidden/>
    <w:unhideWhenUsed/>
    <w:rsid w:val="001F5D19"/>
    <w:rPr>
      <w:b/>
      <w:bCs/>
      <w:sz w:val="20"/>
      <w:szCs w:val="20"/>
    </w:rPr>
  </w:style>
  <w:style w:type="character" w:customStyle="1" w:styleId="CommentSubjectChar">
    <w:name w:val="Comment Subject Char"/>
    <w:basedOn w:val="CommentTextChar"/>
    <w:link w:val="CommentSubject"/>
    <w:uiPriority w:val="99"/>
    <w:semiHidden/>
    <w:rsid w:val="001F5D19"/>
    <w:rPr>
      <w:b/>
      <w:bCs/>
      <w:sz w:val="20"/>
      <w:szCs w:val="20"/>
    </w:rPr>
  </w:style>
  <w:style w:type="paragraph" w:styleId="Revision">
    <w:name w:val="Revision"/>
    <w:hidden/>
    <w:uiPriority w:val="99"/>
    <w:semiHidden/>
    <w:rsid w:val="001F5D19"/>
    <w:pPr>
      <w:spacing w:after="0" w:line="240" w:lineRule="auto"/>
    </w:pPr>
  </w:style>
  <w:style w:type="paragraph" w:styleId="PlainText">
    <w:name w:val="Plain Text"/>
    <w:basedOn w:val="Normal"/>
    <w:link w:val="PlainTextChar"/>
    <w:uiPriority w:val="99"/>
    <w:unhideWhenUsed/>
    <w:rsid w:val="001F5D1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F5D19"/>
    <w:rPr>
      <w:rFonts w:ascii="Calibri" w:hAnsi="Calibri"/>
      <w:szCs w:val="21"/>
    </w:rPr>
  </w:style>
  <w:style w:type="paragraph" w:styleId="Header">
    <w:name w:val="header"/>
    <w:basedOn w:val="Normal"/>
    <w:link w:val="HeaderChar"/>
    <w:uiPriority w:val="99"/>
    <w:unhideWhenUsed/>
    <w:rsid w:val="001F5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D19"/>
  </w:style>
  <w:style w:type="paragraph" w:styleId="Footer">
    <w:name w:val="footer"/>
    <w:basedOn w:val="Normal"/>
    <w:link w:val="FooterChar"/>
    <w:uiPriority w:val="99"/>
    <w:unhideWhenUsed/>
    <w:rsid w:val="001F5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D19"/>
  </w:style>
  <w:style w:type="paragraph" w:styleId="TOCHeading">
    <w:name w:val="TOC Heading"/>
    <w:basedOn w:val="Heading1"/>
    <w:next w:val="Normal"/>
    <w:uiPriority w:val="39"/>
    <w:semiHidden/>
    <w:unhideWhenUsed/>
    <w:qFormat/>
    <w:rsid w:val="001F5D19"/>
    <w:pPr>
      <w:outlineLvl w:val="9"/>
    </w:pPr>
    <w:rPr>
      <w:lang w:val="en-US" w:eastAsia="ja-JP"/>
    </w:rPr>
  </w:style>
  <w:style w:type="paragraph" w:styleId="TOC1">
    <w:name w:val="toc 1"/>
    <w:basedOn w:val="Normal"/>
    <w:next w:val="Normal"/>
    <w:autoRedefine/>
    <w:uiPriority w:val="39"/>
    <w:unhideWhenUsed/>
    <w:qFormat/>
    <w:rsid w:val="009A6C2C"/>
    <w:pPr>
      <w:tabs>
        <w:tab w:val="left" w:pos="440"/>
        <w:tab w:val="right" w:leader="dot" w:pos="9016"/>
      </w:tabs>
      <w:spacing w:after="100"/>
      <w:ind w:left="426" w:hanging="426"/>
    </w:pPr>
  </w:style>
  <w:style w:type="paragraph" w:styleId="TOC2">
    <w:name w:val="toc 2"/>
    <w:basedOn w:val="Normal"/>
    <w:next w:val="Normal"/>
    <w:autoRedefine/>
    <w:uiPriority w:val="39"/>
    <w:unhideWhenUsed/>
    <w:qFormat/>
    <w:rsid w:val="001F5D19"/>
    <w:pPr>
      <w:tabs>
        <w:tab w:val="right" w:leader="dot" w:pos="9016"/>
      </w:tabs>
      <w:spacing w:after="100"/>
    </w:pPr>
    <w:rPr>
      <w:rFonts w:ascii="Arial" w:hAnsi="Arial" w:cs="Arial"/>
      <w:noProof/>
      <w:sz w:val="24"/>
      <w:szCs w:val="24"/>
    </w:rPr>
  </w:style>
  <w:style w:type="character" w:styleId="Hyperlink">
    <w:name w:val="Hyperlink"/>
    <w:basedOn w:val="DefaultParagraphFont"/>
    <w:uiPriority w:val="99"/>
    <w:unhideWhenUsed/>
    <w:rsid w:val="001F5D19"/>
    <w:rPr>
      <w:color w:val="0000FF" w:themeColor="hyperlink"/>
      <w:u w:val="single"/>
    </w:rPr>
  </w:style>
  <w:style w:type="paragraph" w:styleId="FootnoteText">
    <w:name w:val="footnote text"/>
    <w:basedOn w:val="Normal"/>
    <w:link w:val="FootnoteTextChar"/>
    <w:uiPriority w:val="99"/>
    <w:semiHidden/>
    <w:unhideWhenUsed/>
    <w:rsid w:val="001F5D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D19"/>
    <w:rPr>
      <w:sz w:val="20"/>
      <w:szCs w:val="20"/>
    </w:rPr>
  </w:style>
  <w:style w:type="character" w:styleId="FootnoteReference">
    <w:name w:val="footnote reference"/>
    <w:basedOn w:val="DefaultParagraphFont"/>
    <w:uiPriority w:val="99"/>
    <w:unhideWhenUsed/>
    <w:rsid w:val="001F5D19"/>
    <w:rPr>
      <w:vertAlign w:val="superscript"/>
    </w:rPr>
  </w:style>
  <w:style w:type="character" w:styleId="Strong">
    <w:name w:val="Strong"/>
    <w:basedOn w:val="DefaultParagraphFont"/>
    <w:uiPriority w:val="22"/>
    <w:qFormat/>
    <w:rsid w:val="001F5D19"/>
    <w:rPr>
      <w:b/>
      <w:bCs/>
      <w:sz w:val="24"/>
      <w:szCs w:val="24"/>
      <w:bdr w:val="none" w:sz="0" w:space="0" w:color="auto" w:frame="1"/>
      <w:vertAlign w:val="baseline"/>
    </w:rPr>
  </w:style>
  <w:style w:type="character" w:styleId="FollowedHyperlink">
    <w:name w:val="FollowedHyperlink"/>
    <w:basedOn w:val="DefaultParagraphFont"/>
    <w:uiPriority w:val="99"/>
    <w:semiHidden/>
    <w:unhideWhenUsed/>
    <w:rsid w:val="001F5D19"/>
    <w:rPr>
      <w:color w:val="800080" w:themeColor="followedHyperlink"/>
      <w:u w:val="single"/>
    </w:rPr>
  </w:style>
  <w:style w:type="paragraph" w:styleId="TOC3">
    <w:name w:val="toc 3"/>
    <w:basedOn w:val="Normal"/>
    <w:next w:val="Normal"/>
    <w:autoRedefine/>
    <w:uiPriority w:val="39"/>
    <w:unhideWhenUsed/>
    <w:qFormat/>
    <w:rsid w:val="001F5D19"/>
    <w:pPr>
      <w:spacing w:after="100"/>
      <w:ind w:left="440"/>
    </w:pPr>
    <w:rPr>
      <w:rFonts w:eastAsiaTheme="minorEastAsia"/>
      <w:lang w:val="en-US" w:eastAsia="ja-JP"/>
    </w:rPr>
  </w:style>
  <w:style w:type="table" w:customStyle="1" w:styleId="TableGrid1">
    <w:name w:val="Table Grid1"/>
    <w:basedOn w:val="TableNormal"/>
    <w:next w:val="TableGrid"/>
    <w:uiPriority w:val="59"/>
    <w:rsid w:val="001F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F5D19"/>
    <w:pPr>
      <w:numPr>
        <w:numId w:val="1"/>
      </w:numPr>
      <w:contextualSpacing/>
    </w:pPr>
  </w:style>
  <w:style w:type="paragraph" w:styleId="ListNumber">
    <w:name w:val="List Number"/>
    <w:basedOn w:val="Normal"/>
    <w:uiPriority w:val="99"/>
    <w:unhideWhenUsed/>
    <w:rsid w:val="001F5D19"/>
    <w:pPr>
      <w:numPr>
        <w:numId w:val="2"/>
      </w:numPr>
      <w:contextualSpacing/>
    </w:pPr>
  </w:style>
  <w:style w:type="paragraph" w:styleId="Title">
    <w:name w:val="Title"/>
    <w:basedOn w:val="Normal"/>
    <w:next w:val="Normal"/>
    <w:link w:val="TitleChar"/>
    <w:uiPriority w:val="10"/>
    <w:qFormat/>
    <w:rsid w:val="001F5D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5D19"/>
    <w:rPr>
      <w:rFonts w:asciiTheme="majorHAnsi" w:eastAsiaTheme="majorEastAsia" w:hAnsiTheme="majorHAnsi" w:cstheme="majorBidi"/>
      <w:color w:val="17365D" w:themeColor="text2" w:themeShade="BF"/>
      <w:spacing w:val="5"/>
      <w:kern w:val="28"/>
      <w:sz w:val="52"/>
      <w:szCs w:val="52"/>
    </w:rPr>
  </w:style>
  <w:style w:type="paragraph" w:customStyle="1" w:styleId="Heading41">
    <w:name w:val="Heading 41"/>
    <w:basedOn w:val="Normal"/>
    <w:next w:val="Normal"/>
    <w:uiPriority w:val="9"/>
    <w:semiHidden/>
    <w:unhideWhenUsed/>
    <w:qFormat/>
    <w:rsid w:val="001F5D19"/>
    <w:pPr>
      <w:keepNext/>
      <w:keepLines/>
      <w:spacing w:before="200" w:after="0" w:line="240" w:lineRule="auto"/>
      <w:ind w:left="720" w:hanging="720"/>
      <w:outlineLvl w:val="3"/>
    </w:pPr>
    <w:rPr>
      <w:rFonts w:ascii="Cambria" w:eastAsia="MS Gothic" w:hAnsi="Cambria" w:cs="Times New Roman"/>
      <w:b/>
      <w:i/>
      <w:iCs/>
      <w:color w:val="0072C6"/>
      <w:sz w:val="24"/>
      <w:szCs w:val="26"/>
    </w:rPr>
  </w:style>
  <w:style w:type="paragraph" w:customStyle="1" w:styleId="Heading51">
    <w:name w:val="Heading 51"/>
    <w:basedOn w:val="Normal"/>
    <w:next w:val="Normal"/>
    <w:uiPriority w:val="9"/>
    <w:semiHidden/>
    <w:unhideWhenUsed/>
    <w:qFormat/>
    <w:rsid w:val="001F5D19"/>
    <w:pPr>
      <w:keepNext/>
      <w:keepLines/>
      <w:spacing w:before="200" w:after="0" w:line="240" w:lineRule="auto"/>
      <w:ind w:left="1080" w:hanging="1080"/>
      <w:outlineLvl w:val="4"/>
    </w:pPr>
    <w:rPr>
      <w:rFonts w:ascii="Cambria" w:eastAsia="MS Gothic" w:hAnsi="Cambria" w:cs="Times New Roman"/>
      <w:bCs/>
      <w:color w:val="003862"/>
      <w:sz w:val="24"/>
      <w:szCs w:val="26"/>
    </w:rPr>
  </w:style>
  <w:style w:type="paragraph" w:customStyle="1" w:styleId="Heading61">
    <w:name w:val="Heading 61"/>
    <w:basedOn w:val="Normal"/>
    <w:next w:val="Normal"/>
    <w:uiPriority w:val="9"/>
    <w:semiHidden/>
    <w:unhideWhenUsed/>
    <w:qFormat/>
    <w:rsid w:val="001F5D19"/>
    <w:pPr>
      <w:keepNext/>
      <w:keepLines/>
      <w:spacing w:before="200" w:after="0" w:line="240" w:lineRule="auto"/>
      <w:ind w:left="1080" w:hanging="1080"/>
      <w:outlineLvl w:val="5"/>
    </w:pPr>
    <w:rPr>
      <w:rFonts w:ascii="Cambria" w:eastAsia="MS Gothic" w:hAnsi="Cambria" w:cs="Times New Roman"/>
      <w:bCs/>
      <w:i/>
      <w:iCs/>
      <w:color w:val="003862"/>
      <w:sz w:val="24"/>
      <w:szCs w:val="26"/>
    </w:rPr>
  </w:style>
  <w:style w:type="paragraph" w:customStyle="1" w:styleId="Heading71">
    <w:name w:val="Heading 71"/>
    <w:basedOn w:val="Normal"/>
    <w:next w:val="Normal"/>
    <w:uiPriority w:val="9"/>
    <w:semiHidden/>
    <w:unhideWhenUsed/>
    <w:qFormat/>
    <w:rsid w:val="001F5D19"/>
    <w:pPr>
      <w:keepNext/>
      <w:keepLines/>
      <w:spacing w:before="200" w:after="0" w:line="240" w:lineRule="auto"/>
      <w:ind w:left="1440" w:hanging="1440"/>
      <w:outlineLvl w:val="6"/>
    </w:pPr>
    <w:rPr>
      <w:rFonts w:ascii="Cambria" w:eastAsia="MS Gothic" w:hAnsi="Cambria" w:cs="Times New Roman"/>
      <w:bCs/>
      <w:i/>
      <w:iCs/>
      <w:color w:val="404040"/>
      <w:sz w:val="24"/>
      <w:szCs w:val="26"/>
    </w:rPr>
  </w:style>
  <w:style w:type="paragraph" w:customStyle="1" w:styleId="Heading81">
    <w:name w:val="Heading 81"/>
    <w:basedOn w:val="Normal"/>
    <w:next w:val="Normal"/>
    <w:uiPriority w:val="9"/>
    <w:semiHidden/>
    <w:unhideWhenUsed/>
    <w:qFormat/>
    <w:rsid w:val="001F5D19"/>
    <w:pPr>
      <w:keepNext/>
      <w:keepLines/>
      <w:spacing w:before="200" w:after="0" w:line="240" w:lineRule="auto"/>
      <w:ind w:left="1440" w:hanging="1440"/>
      <w:outlineLvl w:val="7"/>
    </w:pPr>
    <w:rPr>
      <w:rFonts w:ascii="Cambria" w:eastAsia="MS Gothic" w:hAnsi="Cambria" w:cs="Times New Roman"/>
      <w:bCs/>
      <w:color w:val="404040"/>
      <w:sz w:val="20"/>
      <w:szCs w:val="20"/>
    </w:rPr>
  </w:style>
  <w:style w:type="paragraph" w:customStyle="1" w:styleId="Heading91">
    <w:name w:val="Heading 91"/>
    <w:basedOn w:val="Normal"/>
    <w:next w:val="Normal"/>
    <w:uiPriority w:val="9"/>
    <w:semiHidden/>
    <w:unhideWhenUsed/>
    <w:qFormat/>
    <w:rsid w:val="001F5D19"/>
    <w:pPr>
      <w:keepNext/>
      <w:keepLines/>
      <w:spacing w:before="200" w:after="0" w:line="240" w:lineRule="auto"/>
      <w:ind w:left="1800" w:hanging="1800"/>
      <w:outlineLvl w:val="8"/>
    </w:pPr>
    <w:rPr>
      <w:rFonts w:ascii="Cambria" w:eastAsia="MS Gothic" w:hAnsi="Cambria" w:cs="Times New Roman"/>
      <w:bCs/>
      <w:i/>
      <w:iCs/>
      <w:color w:val="404040"/>
      <w:sz w:val="20"/>
      <w:szCs w:val="20"/>
    </w:rPr>
  </w:style>
  <w:style w:type="paragraph" w:customStyle="1" w:styleId="DocumentDate">
    <w:name w:val="Document Date"/>
    <w:basedOn w:val="Normal"/>
    <w:qFormat/>
    <w:rsid w:val="001F5D19"/>
    <w:pPr>
      <w:spacing w:after="0" w:line="240" w:lineRule="auto"/>
    </w:pPr>
    <w:rPr>
      <w:rFonts w:ascii="Arial" w:hAnsi="Arial"/>
      <w:color w:val="005B9C"/>
      <w:sz w:val="20"/>
      <w:szCs w:val="24"/>
    </w:rPr>
  </w:style>
  <w:style w:type="table" w:customStyle="1" w:styleId="TableGrid2">
    <w:name w:val="Table Grid2"/>
    <w:basedOn w:val="TableNormal"/>
    <w:next w:val="TableGrid"/>
    <w:uiPriority w:val="59"/>
    <w:rsid w:val="001F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F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2BD1"/>
    <w:rPr>
      <w:rFonts w:ascii="Times New Roman" w:hAnsi="Times New Roman" w:cs="Times New Roman"/>
      <w:sz w:val="24"/>
      <w:szCs w:val="24"/>
    </w:rPr>
  </w:style>
  <w:style w:type="table" w:customStyle="1" w:styleId="TableGrid21">
    <w:name w:val="Table Grid21"/>
    <w:basedOn w:val="TableNormal"/>
    <w:next w:val="TableGrid"/>
    <w:uiPriority w:val="59"/>
    <w:rsid w:val="00157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57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40176"/>
    <w:pPr>
      <w:widowControl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507791"/>
    <w:pPr>
      <w:autoSpaceDE w:val="0"/>
      <w:autoSpaceDN w:val="0"/>
      <w:adjustRightInd w:val="0"/>
      <w:spacing w:after="0" w:line="241" w:lineRule="atLeast"/>
    </w:pPr>
    <w:rPr>
      <w:rFonts w:ascii="Frutiger 45 Light" w:eastAsia="HGSMinchoE" w:hAnsi="Frutiger 45 Light" w:cs="Times New Roman"/>
      <w:sz w:val="24"/>
      <w:szCs w:val="24"/>
      <w:lang w:eastAsia="en-GB"/>
    </w:rPr>
  </w:style>
  <w:style w:type="table" w:customStyle="1" w:styleId="TableGrid5">
    <w:name w:val="Table Grid5"/>
    <w:basedOn w:val="TableNormal"/>
    <w:next w:val="TableGrid"/>
    <w:uiPriority w:val="59"/>
    <w:rsid w:val="00D75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F1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27180">
      <w:bodyDiv w:val="1"/>
      <w:marLeft w:val="0"/>
      <w:marRight w:val="0"/>
      <w:marTop w:val="0"/>
      <w:marBottom w:val="0"/>
      <w:divBdr>
        <w:top w:val="none" w:sz="0" w:space="0" w:color="auto"/>
        <w:left w:val="none" w:sz="0" w:space="0" w:color="auto"/>
        <w:bottom w:val="none" w:sz="0" w:space="0" w:color="auto"/>
        <w:right w:val="none" w:sz="0" w:space="0" w:color="auto"/>
      </w:divBdr>
    </w:div>
    <w:div w:id="608859776">
      <w:bodyDiv w:val="1"/>
      <w:marLeft w:val="0"/>
      <w:marRight w:val="0"/>
      <w:marTop w:val="0"/>
      <w:marBottom w:val="0"/>
      <w:divBdr>
        <w:top w:val="none" w:sz="0" w:space="0" w:color="auto"/>
        <w:left w:val="none" w:sz="0" w:space="0" w:color="auto"/>
        <w:bottom w:val="none" w:sz="0" w:space="0" w:color="auto"/>
        <w:right w:val="none" w:sz="0" w:space="0" w:color="auto"/>
      </w:divBdr>
    </w:div>
    <w:div w:id="654384498">
      <w:bodyDiv w:val="1"/>
      <w:marLeft w:val="0"/>
      <w:marRight w:val="0"/>
      <w:marTop w:val="0"/>
      <w:marBottom w:val="0"/>
      <w:divBdr>
        <w:top w:val="none" w:sz="0" w:space="0" w:color="auto"/>
        <w:left w:val="none" w:sz="0" w:space="0" w:color="auto"/>
        <w:bottom w:val="none" w:sz="0" w:space="0" w:color="auto"/>
        <w:right w:val="none" w:sz="0" w:space="0" w:color="auto"/>
      </w:divBdr>
    </w:div>
    <w:div w:id="737634957">
      <w:bodyDiv w:val="1"/>
      <w:marLeft w:val="0"/>
      <w:marRight w:val="0"/>
      <w:marTop w:val="0"/>
      <w:marBottom w:val="0"/>
      <w:divBdr>
        <w:top w:val="none" w:sz="0" w:space="0" w:color="auto"/>
        <w:left w:val="none" w:sz="0" w:space="0" w:color="auto"/>
        <w:bottom w:val="none" w:sz="0" w:space="0" w:color="auto"/>
        <w:right w:val="none" w:sz="0" w:space="0" w:color="auto"/>
      </w:divBdr>
    </w:div>
    <w:div w:id="1140457552">
      <w:bodyDiv w:val="1"/>
      <w:marLeft w:val="0"/>
      <w:marRight w:val="0"/>
      <w:marTop w:val="0"/>
      <w:marBottom w:val="0"/>
      <w:divBdr>
        <w:top w:val="none" w:sz="0" w:space="0" w:color="auto"/>
        <w:left w:val="none" w:sz="0" w:space="0" w:color="auto"/>
        <w:bottom w:val="none" w:sz="0" w:space="0" w:color="auto"/>
        <w:right w:val="none" w:sz="0" w:space="0" w:color="auto"/>
      </w:divBdr>
      <w:divsChild>
        <w:div w:id="303659652">
          <w:marLeft w:val="274"/>
          <w:marRight w:val="0"/>
          <w:marTop w:val="0"/>
          <w:marBottom w:val="0"/>
          <w:divBdr>
            <w:top w:val="none" w:sz="0" w:space="0" w:color="auto"/>
            <w:left w:val="none" w:sz="0" w:space="0" w:color="auto"/>
            <w:bottom w:val="none" w:sz="0" w:space="0" w:color="auto"/>
            <w:right w:val="none" w:sz="0" w:space="0" w:color="auto"/>
          </w:divBdr>
        </w:div>
      </w:divsChild>
    </w:div>
    <w:div w:id="1150096439">
      <w:bodyDiv w:val="1"/>
      <w:marLeft w:val="0"/>
      <w:marRight w:val="0"/>
      <w:marTop w:val="0"/>
      <w:marBottom w:val="0"/>
      <w:divBdr>
        <w:top w:val="none" w:sz="0" w:space="0" w:color="auto"/>
        <w:left w:val="none" w:sz="0" w:space="0" w:color="auto"/>
        <w:bottom w:val="none" w:sz="0" w:space="0" w:color="auto"/>
        <w:right w:val="none" w:sz="0" w:space="0" w:color="auto"/>
      </w:divBdr>
      <w:divsChild>
        <w:div w:id="1217087124">
          <w:marLeft w:val="547"/>
          <w:marRight w:val="0"/>
          <w:marTop w:val="0"/>
          <w:marBottom w:val="0"/>
          <w:divBdr>
            <w:top w:val="none" w:sz="0" w:space="0" w:color="auto"/>
            <w:left w:val="none" w:sz="0" w:space="0" w:color="auto"/>
            <w:bottom w:val="none" w:sz="0" w:space="0" w:color="auto"/>
            <w:right w:val="none" w:sz="0" w:space="0" w:color="auto"/>
          </w:divBdr>
        </w:div>
        <w:div w:id="2078475716">
          <w:marLeft w:val="547"/>
          <w:marRight w:val="0"/>
          <w:marTop w:val="0"/>
          <w:marBottom w:val="0"/>
          <w:divBdr>
            <w:top w:val="none" w:sz="0" w:space="0" w:color="auto"/>
            <w:left w:val="none" w:sz="0" w:space="0" w:color="auto"/>
            <w:bottom w:val="none" w:sz="0" w:space="0" w:color="auto"/>
            <w:right w:val="none" w:sz="0" w:space="0" w:color="auto"/>
          </w:divBdr>
        </w:div>
      </w:divsChild>
    </w:div>
    <w:div w:id="1190097058">
      <w:bodyDiv w:val="1"/>
      <w:marLeft w:val="0"/>
      <w:marRight w:val="0"/>
      <w:marTop w:val="0"/>
      <w:marBottom w:val="0"/>
      <w:divBdr>
        <w:top w:val="none" w:sz="0" w:space="0" w:color="auto"/>
        <w:left w:val="none" w:sz="0" w:space="0" w:color="auto"/>
        <w:bottom w:val="none" w:sz="0" w:space="0" w:color="auto"/>
        <w:right w:val="none" w:sz="0" w:space="0" w:color="auto"/>
      </w:divBdr>
      <w:divsChild>
        <w:div w:id="973682901">
          <w:marLeft w:val="446"/>
          <w:marRight w:val="0"/>
          <w:marTop w:val="0"/>
          <w:marBottom w:val="0"/>
          <w:divBdr>
            <w:top w:val="none" w:sz="0" w:space="0" w:color="auto"/>
            <w:left w:val="none" w:sz="0" w:space="0" w:color="auto"/>
            <w:bottom w:val="none" w:sz="0" w:space="0" w:color="auto"/>
            <w:right w:val="none" w:sz="0" w:space="0" w:color="auto"/>
          </w:divBdr>
        </w:div>
        <w:div w:id="546723468">
          <w:marLeft w:val="446"/>
          <w:marRight w:val="0"/>
          <w:marTop w:val="0"/>
          <w:marBottom w:val="0"/>
          <w:divBdr>
            <w:top w:val="none" w:sz="0" w:space="0" w:color="auto"/>
            <w:left w:val="none" w:sz="0" w:space="0" w:color="auto"/>
            <w:bottom w:val="none" w:sz="0" w:space="0" w:color="auto"/>
            <w:right w:val="none" w:sz="0" w:space="0" w:color="auto"/>
          </w:divBdr>
        </w:div>
        <w:div w:id="1183932031">
          <w:marLeft w:val="446"/>
          <w:marRight w:val="0"/>
          <w:marTop w:val="0"/>
          <w:marBottom w:val="0"/>
          <w:divBdr>
            <w:top w:val="none" w:sz="0" w:space="0" w:color="auto"/>
            <w:left w:val="none" w:sz="0" w:space="0" w:color="auto"/>
            <w:bottom w:val="none" w:sz="0" w:space="0" w:color="auto"/>
            <w:right w:val="none" w:sz="0" w:space="0" w:color="auto"/>
          </w:divBdr>
        </w:div>
      </w:divsChild>
    </w:div>
    <w:div w:id="1595437498">
      <w:bodyDiv w:val="1"/>
      <w:marLeft w:val="0"/>
      <w:marRight w:val="0"/>
      <w:marTop w:val="0"/>
      <w:marBottom w:val="0"/>
      <w:divBdr>
        <w:top w:val="none" w:sz="0" w:space="0" w:color="auto"/>
        <w:left w:val="none" w:sz="0" w:space="0" w:color="auto"/>
        <w:bottom w:val="none" w:sz="0" w:space="0" w:color="auto"/>
        <w:right w:val="none" w:sz="0" w:space="0" w:color="auto"/>
      </w:divBdr>
    </w:div>
    <w:div w:id="1723014617">
      <w:bodyDiv w:val="1"/>
      <w:marLeft w:val="0"/>
      <w:marRight w:val="0"/>
      <w:marTop w:val="0"/>
      <w:marBottom w:val="0"/>
      <w:divBdr>
        <w:top w:val="none" w:sz="0" w:space="0" w:color="auto"/>
        <w:left w:val="none" w:sz="0" w:space="0" w:color="auto"/>
        <w:bottom w:val="none" w:sz="0" w:space="0" w:color="auto"/>
        <w:right w:val="none" w:sz="0" w:space="0" w:color="auto"/>
      </w:divBdr>
      <w:divsChild>
        <w:div w:id="2095391141">
          <w:marLeft w:val="274"/>
          <w:marRight w:val="0"/>
          <w:marTop w:val="0"/>
          <w:marBottom w:val="0"/>
          <w:divBdr>
            <w:top w:val="none" w:sz="0" w:space="0" w:color="auto"/>
            <w:left w:val="none" w:sz="0" w:space="0" w:color="auto"/>
            <w:bottom w:val="none" w:sz="0" w:space="0" w:color="auto"/>
            <w:right w:val="none" w:sz="0" w:space="0" w:color="auto"/>
          </w:divBdr>
        </w:div>
        <w:div w:id="523830264">
          <w:marLeft w:val="274"/>
          <w:marRight w:val="0"/>
          <w:marTop w:val="0"/>
          <w:marBottom w:val="0"/>
          <w:divBdr>
            <w:top w:val="none" w:sz="0" w:space="0" w:color="auto"/>
            <w:left w:val="none" w:sz="0" w:space="0" w:color="auto"/>
            <w:bottom w:val="none" w:sz="0" w:space="0" w:color="auto"/>
            <w:right w:val="none" w:sz="0" w:space="0" w:color="auto"/>
          </w:divBdr>
        </w:div>
        <w:div w:id="534462786">
          <w:marLeft w:val="274"/>
          <w:marRight w:val="0"/>
          <w:marTop w:val="0"/>
          <w:marBottom w:val="0"/>
          <w:divBdr>
            <w:top w:val="none" w:sz="0" w:space="0" w:color="auto"/>
            <w:left w:val="none" w:sz="0" w:space="0" w:color="auto"/>
            <w:bottom w:val="none" w:sz="0" w:space="0" w:color="auto"/>
            <w:right w:val="none" w:sz="0" w:space="0" w:color="auto"/>
          </w:divBdr>
        </w:div>
        <w:div w:id="440491451">
          <w:marLeft w:val="274"/>
          <w:marRight w:val="0"/>
          <w:marTop w:val="0"/>
          <w:marBottom w:val="0"/>
          <w:divBdr>
            <w:top w:val="none" w:sz="0" w:space="0" w:color="auto"/>
            <w:left w:val="none" w:sz="0" w:space="0" w:color="auto"/>
            <w:bottom w:val="none" w:sz="0" w:space="0" w:color="auto"/>
            <w:right w:val="none" w:sz="0" w:space="0" w:color="auto"/>
          </w:divBdr>
        </w:div>
        <w:div w:id="368380160">
          <w:marLeft w:val="274"/>
          <w:marRight w:val="0"/>
          <w:marTop w:val="0"/>
          <w:marBottom w:val="0"/>
          <w:divBdr>
            <w:top w:val="none" w:sz="0" w:space="0" w:color="auto"/>
            <w:left w:val="none" w:sz="0" w:space="0" w:color="auto"/>
            <w:bottom w:val="none" w:sz="0" w:space="0" w:color="auto"/>
            <w:right w:val="none" w:sz="0" w:space="0" w:color="auto"/>
          </w:divBdr>
        </w:div>
        <w:div w:id="1335498786">
          <w:marLeft w:val="274"/>
          <w:marRight w:val="0"/>
          <w:marTop w:val="0"/>
          <w:marBottom w:val="0"/>
          <w:divBdr>
            <w:top w:val="none" w:sz="0" w:space="0" w:color="auto"/>
            <w:left w:val="none" w:sz="0" w:space="0" w:color="auto"/>
            <w:bottom w:val="none" w:sz="0" w:space="0" w:color="auto"/>
            <w:right w:val="none" w:sz="0" w:space="0" w:color="auto"/>
          </w:divBdr>
        </w:div>
      </w:divsChild>
    </w:div>
    <w:div w:id="1739089294">
      <w:bodyDiv w:val="1"/>
      <w:marLeft w:val="0"/>
      <w:marRight w:val="0"/>
      <w:marTop w:val="0"/>
      <w:marBottom w:val="0"/>
      <w:divBdr>
        <w:top w:val="none" w:sz="0" w:space="0" w:color="auto"/>
        <w:left w:val="none" w:sz="0" w:space="0" w:color="auto"/>
        <w:bottom w:val="none" w:sz="0" w:space="0" w:color="auto"/>
        <w:right w:val="none" w:sz="0" w:space="0" w:color="auto"/>
      </w:divBdr>
      <w:divsChild>
        <w:div w:id="158927839">
          <w:marLeft w:val="274"/>
          <w:marRight w:val="0"/>
          <w:marTop w:val="0"/>
          <w:marBottom w:val="0"/>
          <w:divBdr>
            <w:top w:val="none" w:sz="0" w:space="0" w:color="auto"/>
            <w:left w:val="none" w:sz="0" w:space="0" w:color="auto"/>
            <w:bottom w:val="none" w:sz="0" w:space="0" w:color="auto"/>
            <w:right w:val="none" w:sz="0" w:space="0" w:color="auto"/>
          </w:divBdr>
        </w:div>
        <w:div w:id="179050034">
          <w:marLeft w:val="274"/>
          <w:marRight w:val="0"/>
          <w:marTop w:val="0"/>
          <w:marBottom w:val="0"/>
          <w:divBdr>
            <w:top w:val="none" w:sz="0" w:space="0" w:color="auto"/>
            <w:left w:val="none" w:sz="0" w:space="0" w:color="auto"/>
            <w:bottom w:val="none" w:sz="0" w:space="0" w:color="auto"/>
            <w:right w:val="none" w:sz="0" w:space="0" w:color="auto"/>
          </w:divBdr>
        </w:div>
        <w:div w:id="197278464">
          <w:marLeft w:val="274"/>
          <w:marRight w:val="0"/>
          <w:marTop w:val="0"/>
          <w:marBottom w:val="0"/>
          <w:divBdr>
            <w:top w:val="none" w:sz="0" w:space="0" w:color="auto"/>
            <w:left w:val="none" w:sz="0" w:space="0" w:color="auto"/>
            <w:bottom w:val="none" w:sz="0" w:space="0" w:color="auto"/>
            <w:right w:val="none" w:sz="0" w:space="0" w:color="auto"/>
          </w:divBdr>
        </w:div>
        <w:div w:id="375392976">
          <w:marLeft w:val="274"/>
          <w:marRight w:val="0"/>
          <w:marTop w:val="0"/>
          <w:marBottom w:val="0"/>
          <w:divBdr>
            <w:top w:val="none" w:sz="0" w:space="0" w:color="auto"/>
            <w:left w:val="none" w:sz="0" w:space="0" w:color="auto"/>
            <w:bottom w:val="none" w:sz="0" w:space="0" w:color="auto"/>
            <w:right w:val="none" w:sz="0" w:space="0" w:color="auto"/>
          </w:divBdr>
        </w:div>
        <w:div w:id="726490388">
          <w:marLeft w:val="274"/>
          <w:marRight w:val="0"/>
          <w:marTop w:val="0"/>
          <w:marBottom w:val="0"/>
          <w:divBdr>
            <w:top w:val="none" w:sz="0" w:space="0" w:color="auto"/>
            <w:left w:val="none" w:sz="0" w:space="0" w:color="auto"/>
            <w:bottom w:val="none" w:sz="0" w:space="0" w:color="auto"/>
            <w:right w:val="none" w:sz="0" w:space="0" w:color="auto"/>
          </w:divBdr>
        </w:div>
        <w:div w:id="920215675">
          <w:marLeft w:val="274"/>
          <w:marRight w:val="0"/>
          <w:marTop w:val="0"/>
          <w:marBottom w:val="0"/>
          <w:divBdr>
            <w:top w:val="none" w:sz="0" w:space="0" w:color="auto"/>
            <w:left w:val="none" w:sz="0" w:space="0" w:color="auto"/>
            <w:bottom w:val="none" w:sz="0" w:space="0" w:color="auto"/>
            <w:right w:val="none" w:sz="0" w:space="0" w:color="auto"/>
          </w:divBdr>
        </w:div>
        <w:div w:id="1050151171">
          <w:marLeft w:val="274"/>
          <w:marRight w:val="0"/>
          <w:marTop w:val="0"/>
          <w:marBottom w:val="0"/>
          <w:divBdr>
            <w:top w:val="none" w:sz="0" w:space="0" w:color="auto"/>
            <w:left w:val="none" w:sz="0" w:space="0" w:color="auto"/>
            <w:bottom w:val="none" w:sz="0" w:space="0" w:color="auto"/>
            <w:right w:val="none" w:sz="0" w:space="0" w:color="auto"/>
          </w:divBdr>
        </w:div>
        <w:div w:id="1128012782">
          <w:marLeft w:val="274"/>
          <w:marRight w:val="0"/>
          <w:marTop w:val="0"/>
          <w:marBottom w:val="0"/>
          <w:divBdr>
            <w:top w:val="none" w:sz="0" w:space="0" w:color="auto"/>
            <w:left w:val="none" w:sz="0" w:space="0" w:color="auto"/>
            <w:bottom w:val="none" w:sz="0" w:space="0" w:color="auto"/>
            <w:right w:val="none" w:sz="0" w:space="0" w:color="auto"/>
          </w:divBdr>
        </w:div>
        <w:div w:id="1324621636">
          <w:marLeft w:val="274"/>
          <w:marRight w:val="0"/>
          <w:marTop w:val="0"/>
          <w:marBottom w:val="0"/>
          <w:divBdr>
            <w:top w:val="none" w:sz="0" w:space="0" w:color="auto"/>
            <w:left w:val="none" w:sz="0" w:space="0" w:color="auto"/>
            <w:bottom w:val="none" w:sz="0" w:space="0" w:color="auto"/>
            <w:right w:val="none" w:sz="0" w:space="0" w:color="auto"/>
          </w:divBdr>
        </w:div>
        <w:div w:id="1358461433">
          <w:marLeft w:val="274"/>
          <w:marRight w:val="0"/>
          <w:marTop w:val="0"/>
          <w:marBottom w:val="0"/>
          <w:divBdr>
            <w:top w:val="none" w:sz="0" w:space="0" w:color="auto"/>
            <w:left w:val="none" w:sz="0" w:space="0" w:color="auto"/>
            <w:bottom w:val="none" w:sz="0" w:space="0" w:color="auto"/>
            <w:right w:val="none" w:sz="0" w:space="0" w:color="auto"/>
          </w:divBdr>
        </w:div>
        <w:div w:id="1379821371">
          <w:marLeft w:val="274"/>
          <w:marRight w:val="0"/>
          <w:marTop w:val="0"/>
          <w:marBottom w:val="0"/>
          <w:divBdr>
            <w:top w:val="none" w:sz="0" w:space="0" w:color="auto"/>
            <w:left w:val="none" w:sz="0" w:space="0" w:color="auto"/>
            <w:bottom w:val="none" w:sz="0" w:space="0" w:color="auto"/>
            <w:right w:val="none" w:sz="0" w:space="0" w:color="auto"/>
          </w:divBdr>
        </w:div>
        <w:div w:id="187558312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the-green-book-appraisal-and-evaluation-in-central-governe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vider.digitisation@nhs.net"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7E1CD-B626-4C18-8EF0-B9B7389C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6395</Words>
  <Characters>36458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Viki</dc:creator>
  <cp:lastModifiedBy>Neil Calland</cp:lastModifiedBy>
  <cp:revision>5</cp:revision>
  <cp:lastPrinted>2018-07-24T14:31:00Z</cp:lastPrinted>
  <dcterms:created xsi:type="dcterms:W3CDTF">2018-08-10T09:57:00Z</dcterms:created>
  <dcterms:modified xsi:type="dcterms:W3CDTF">2018-08-10T11:42:00Z</dcterms:modified>
</cp:coreProperties>
</file>